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556D2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  <w:r w:rsidRPr="00556D20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            PROJETO DE LEI Nº </w:t>
      </w:r>
      <w:r w:rsidR="00556D20" w:rsidRPr="00556D20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86</w:t>
      </w:r>
      <w:r w:rsidRPr="00556D20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DE 2018</w:t>
      </w:r>
    </w:p>
    <w:p w:rsidR="00556D20" w:rsidRPr="00556D20" w:rsidRDefault="00556D20" w:rsidP="00556D20">
      <w:pPr>
        <w:rPr>
          <w:lang w:eastAsia="pt-BR"/>
        </w:rPr>
      </w:pPr>
      <w:bookmarkStart w:id="0" w:name="_GoBack"/>
      <w:bookmarkEnd w:id="0"/>
    </w:p>
    <w:p w:rsidR="00B0762E" w:rsidRPr="003A7EB5" w:rsidRDefault="00B0762E" w:rsidP="00B0762E">
      <w:pPr>
        <w:ind w:left="3828"/>
        <w:jc w:val="both"/>
        <w:rPr>
          <w:b/>
        </w:rPr>
      </w:pPr>
    </w:p>
    <w:p w:rsidR="00B0762E" w:rsidRPr="003A7EB5" w:rsidRDefault="00B0762E" w:rsidP="00B0762E">
      <w:pPr>
        <w:ind w:left="3828"/>
        <w:jc w:val="both"/>
        <w:rPr>
          <w:b/>
          <w:color w:val="000000"/>
        </w:rPr>
      </w:pPr>
    </w:p>
    <w:p w:rsidR="00B0762E" w:rsidRPr="003A7EB5" w:rsidRDefault="00B0762E" w:rsidP="00B0762E">
      <w:pPr>
        <w:ind w:left="3828"/>
        <w:jc w:val="both"/>
        <w:rPr>
          <w:b/>
          <w:caps/>
        </w:rPr>
      </w:pPr>
      <w:r w:rsidRPr="003A7EB5">
        <w:rPr>
          <w:b/>
          <w:caps/>
          <w:color w:val="000000"/>
        </w:rPr>
        <w:t xml:space="preserve">Dispõe Sobre </w:t>
      </w:r>
      <w:r>
        <w:rPr>
          <w:b/>
          <w:caps/>
          <w:color w:val="000000"/>
        </w:rPr>
        <w:t>ALTERAÇÕES DE DISPOSITIVOS DA LEI MUNICIPAL N° 5.384, DE 21 DE JUNHO DE 2013</w:t>
      </w:r>
      <w:r w:rsidRPr="003A7EB5">
        <w:rPr>
          <w:b/>
          <w:caps/>
          <w:color w:val="000000"/>
        </w:rPr>
        <w:t xml:space="preserve">. </w:t>
      </w:r>
    </w:p>
    <w:p w:rsidR="00B0762E" w:rsidRPr="003A7EB5" w:rsidRDefault="00B0762E" w:rsidP="00B0762E">
      <w:pPr>
        <w:jc w:val="both"/>
        <w:rPr>
          <w:color w:val="000000"/>
        </w:rPr>
      </w:pPr>
    </w:p>
    <w:p w:rsidR="00B0762E" w:rsidRPr="003A7EB5" w:rsidRDefault="00B0762E" w:rsidP="00B0762E">
      <w:pPr>
        <w:ind w:firstLine="3828"/>
        <w:jc w:val="both"/>
      </w:pPr>
      <w:r w:rsidRPr="003A7EB5">
        <w:rPr>
          <w:color w:val="000000"/>
        </w:rPr>
        <w:t xml:space="preserve">A Câmara de Mogi Mirim aprovou e o Prefeito Municipal </w:t>
      </w:r>
      <w:r w:rsidRPr="003A7EB5">
        <w:rPr>
          <w:b/>
          <w:color w:val="000000"/>
        </w:rPr>
        <w:t>CARLOS NELSON BUENO</w:t>
      </w:r>
      <w:r w:rsidRPr="003A7EB5">
        <w:rPr>
          <w:color w:val="000000"/>
        </w:rPr>
        <w:t xml:space="preserve"> sanciona e promulga a seguinte Lei:</w:t>
      </w:r>
    </w:p>
    <w:p w:rsidR="00B0762E" w:rsidRPr="003A7EB5" w:rsidRDefault="00B0762E" w:rsidP="00B0762E">
      <w:pPr>
        <w:jc w:val="both"/>
        <w:rPr>
          <w:color w:val="000000"/>
        </w:rPr>
      </w:pPr>
    </w:p>
    <w:p w:rsidR="00B0762E" w:rsidRPr="003A7EB5" w:rsidRDefault="00B0762E" w:rsidP="00B0762E">
      <w:pPr>
        <w:ind w:firstLine="3828"/>
        <w:jc w:val="both"/>
      </w:pPr>
      <w:r w:rsidRPr="003A7EB5">
        <w:rPr>
          <w:bCs/>
          <w:color w:val="000000"/>
        </w:rPr>
        <w:t>Art. 1º</w:t>
      </w:r>
      <w:r w:rsidRPr="003A7EB5">
        <w:rPr>
          <w:color w:val="000000"/>
        </w:rPr>
        <w:t xml:space="preserve"> </w:t>
      </w:r>
      <w:r>
        <w:rPr>
          <w:color w:val="000000"/>
        </w:rPr>
        <w:t xml:space="preserve">A Lei Municipal n° 5.384, de 21 de junho de 2013, que instituiu o </w:t>
      </w:r>
      <w:r w:rsidRPr="00856CC5">
        <w:rPr>
          <w:b/>
          <w:color w:val="000000"/>
        </w:rPr>
        <w:t>Banco de Alimentos de Mogi Mirim</w:t>
      </w:r>
      <w:r>
        <w:rPr>
          <w:color w:val="000000"/>
        </w:rPr>
        <w:t>, passa a viger com as alterações consignadas na presente Lei</w:t>
      </w:r>
      <w:r w:rsidRPr="003A7EB5">
        <w:rPr>
          <w:color w:val="000000"/>
        </w:rPr>
        <w:t xml:space="preserve">. </w:t>
      </w:r>
    </w:p>
    <w:p w:rsidR="00B0762E" w:rsidRPr="003A7EB5" w:rsidRDefault="00B0762E" w:rsidP="00B0762E">
      <w:pPr>
        <w:ind w:firstLine="3828"/>
        <w:jc w:val="both"/>
        <w:rPr>
          <w:color w:val="000000"/>
        </w:rPr>
      </w:pPr>
    </w:p>
    <w:p w:rsidR="00B0762E" w:rsidRDefault="00B0762E" w:rsidP="00B0762E">
      <w:pPr>
        <w:ind w:firstLine="3828"/>
        <w:jc w:val="both"/>
        <w:rPr>
          <w:color w:val="000000"/>
        </w:rPr>
      </w:pPr>
      <w:r w:rsidRPr="003A7EB5">
        <w:rPr>
          <w:bCs/>
          <w:color w:val="000000"/>
        </w:rPr>
        <w:t>Art. 2º</w:t>
      </w:r>
      <w:r w:rsidRPr="003A7EB5">
        <w:rPr>
          <w:color w:val="000000"/>
        </w:rPr>
        <w:t xml:space="preserve"> </w:t>
      </w:r>
      <w:r>
        <w:rPr>
          <w:color w:val="000000"/>
        </w:rPr>
        <w:t>O art. 3° passa a viger nos seguintes termos, acrescido dos incisos V e VI:</w:t>
      </w: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Art. 3° O Banco de Alimentos de Mogi Mirim ficará vinculado administrativamente à Secretaria de Agricultura da Prefeitura de Mogi Mirim, em cooperação com a Secretaria de Assistência Social e o Fundo Social de Solidariedade, com a seguinte estrutura: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I – coordenação;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II – controle de qualidade;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III – logística;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IV – educação alimentar;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V – controle social;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</w:rPr>
      </w:pPr>
      <w:r w:rsidRPr="00923F0B">
        <w:rPr>
          <w:b/>
          <w:i/>
          <w:color w:val="000000"/>
        </w:rPr>
        <w:t>VI – articulação.</w:t>
      </w:r>
    </w:p>
    <w:p w:rsidR="00B0762E" w:rsidRPr="003A7EB5" w:rsidRDefault="00B0762E" w:rsidP="00B0762E">
      <w:pPr>
        <w:ind w:firstLine="3828"/>
        <w:jc w:val="both"/>
        <w:rPr>
          <w:color w:val="000000"/>
        </w:rPr>
      </w:pPr>
    </w:p>
    <w:p w:rsidR="00B0762E" w:rsidRDefault="00B0762E" w:rsidP="00B0762E">
      <w:pPr>
        <w:ind w:firstLine="3828"/>
        <w:jc w:val="both"/>
        <w:rPr>
          <w:bCs/>
          <w:color w:val="000000"/>
        </w:rPr>
      </w:pPr>
    </w:p>
    <w:p w:rsidR="00B0762E" w:rsidRDefault="00B0762E" w:rsidP="00B0762E">
      <w:pPr>
        <w:ind w:firstLine="3828"/>
        <w:jc w:val="both"/>
        <w:rPr>
          <w:color w:val="000000"/>
        </w:rPr>
      </w:pPr>
      <w:r w:rsidRPr="00A87DEC">
        <w:rPr>
          <w:bCs/>
          <w:color w:val="000000"/>
        </w:rPr>
        <w:t>Art. 3º</w:t>
      </w:r>
      <w:r w:rsidRPr="003A7EB5">
        <w:rPr>
          <w:b/>
          <w:bCs/>
          <w:color w:val="000000"/>
        </w:rPr>
        <w:t xml:space="preserve"> </w:t>
      </w:r>
      <w:r>
        <w:rPr>
          <w:bCs/>
          <w:color w:val="000000"/>
        </w:rPr>
        <w:t>A composição do</w:t>
      </w:r>
      <w:r>
        <w:rPr>
          <w:color w:val="000000"/>
        </w:rPr>
        <w:t xml:space="preserve"> Conselho Gestor, mencionado no art. 4°, passa a viger nos seguintes termos:</w:t>
      </w: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 xml:space="preserve">Art. 4° </w:t>
      </w:r>
      <w:r>
        <w:rPr>
          <w:b/>
          <w:i/>
          <w:color w:val="000000"/>
        </w:rPr>
        <w:t>[...]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I – 1 (um) representante da Secretaria de Agricultura;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II – 1 (um) representante da Secretaria de Assistência Social;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 xml:space="preserve">III – 1 (um) representante da Secretaria de </w:t>
      </w:r>
      <w:r>
        <w:rPr>
          <w:b/>
          <w:i/>
          <w:color w:val="000000"/>
        </w:rPr>
        <w:t>Educação</w:t>
      </w:r>
      <w:r w:rsidRPr="00923F0B">
        <w:rPr>
          <w:b/>
          <w:i/>
          <w:color w:val="000000"/>
        </w:rPr>
        <w:t>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IV – 1 (um) representante da Secretaria de Saúde;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lastRenderedPageBreak/>
        <w:t>V – 1 (um) representante do Fundo Social de Solidariedade;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VI – representantes de outros órgãos públicos, federais, estaduais ou municipais e de pessoas jurídicas de direito privado, na forma que dispuser o seu regulamento.</w:t>
      </w: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Default="00B0762E" w:rsidP="00B0762E">
      <w:pPr>
        <w:ind w:firstLine="3828"/>
        <w:jc w:val="both"/>
        <w:rPr>
          <w:color w:val="000000"/>
        </w:rPr>
      </w:pPr>
      <w:r>
        <w:rPr>
          <w:color w:val="000000"/>
        </w:rPr>
        <w:t>Art. 4° O inciso III e alíneas, do art. 5°, passam a viger nos seguintes termos:</w:t>
      </w: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Default="00B0762E" w:rsidP="00B0762E">
      <w:pPr>
        <w:ind w:left="2835"/>
        <w:jc w:val="both"/>
        <w:rPr>
          <w:b/>
          <w:i/>
          <w:color w:val="000000"/>
        </w:rPr>
      </w:pPr>
      <w:r>
        <w:rPr>
          <w:b/>
          <w:i/>
          <w:color w:val="000000"/>
        </w:rPr>
        <w:t>Art. 5° [...]</w:t>
      </w:r>
    </w:p>
    <w:p w:rsidR="00B0762E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III – efetuar a distribuição dos produtos arrecadados para:</w:t>
      </w:r>
    </w:p>
    <w:p w:rsidR="00B0762E" w:rsidRDefault="00B0762E" w:rsidP="00B0762E">
      <w:pPr>
        <w:ind w:left="2835"/>
        <w:jc w:val="both"/>
        <w:rPr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 xml:space="preserve">a) organizações socioassistenciais credenciadas na Secretaria de Assistência Social e </w:t>
      </w:r>
      <w:r>
        <w:rPr>
          <w:b/>
          <w:i/>
          <w:color w:val="000000"/>
        </w:rPr>
        <w:t xml:space="preserve">ou </w:t>
      </w:r>
      <w:r w:rsidRPr="00923F0B">
        <w:rPr>
          <w:b/>
          <w:i/>
          <w:color w:val="000000"/>
        </w:rPr>
        <w:t>no Conselho Municipal de Assistência Social;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b) organizações sociais com preponderâncias nas áreas de educação e saúde, desde que estejam credenciadas e comprovem a necessidade;</w:t>
      </w: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</w:p>
    <w:p w:rsidR="00B0762E" w:rsidRPr="00923F0B" w:rsidRDefault="00B0762E" w:rsidP="00B0762E">
      <w:pPr>
        <w:ind w:left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c) famílias beneficiadas por programas de transferência de renda e ou em vulnerabilidade social indicadas pela Secretaria de Assistência Social.</w:t>
      </w: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Default="00B0762E" w:rsidP="00B0762E">
      <w:pPr>
        <w:ind w:firstLine="3828"/>
        <w:jc w:val="both"/>
        <w:rPr>
          <w:color w:val="000000"/>
        </w:rPr>
      </w:pPr>
      <w:r>
        <w:rPr>
          <w:color w:val="000000"/>
        </w:rPr>
        <w:t>Art. 5° Acrescenta-se ao art. 5° o seguinte inciso:</w:t>
      </w: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Pr="00923F0B" w:rsidRDefault="00B0762E" w:rsidP="00B0762E">
      <w:pPr>
        <w:ind w:firstLine="2835"/>
        <w:jc w:val="both"/>
        <w:rPr>
          <w:b/>
          <w:i/>
          <w:color w:val="000000"/>
        </w:rPr>
      </w:pPr>
      <w:r w:rsidRPr="00923F0B">
        <w:rPr>
          <w:b/>
          <w:i/>
          <w:color w:val="000000"/>
        </w:rPr>
        <w:t>VII – promover articulações e parcerias com outros órgãos afins.</w:t>
      </w:r>
    </w:p>
    <w:p w:rsidR="00B0762E" w:rsidRDefault="00B0762E" w:rsidP="00B0762E">
      <w:pPr>
        <w:ind w:firstLine="3828"/>
        <w:jc w:val="both"/>
        <w:rPr>
          <w:color w:val="000000"/>
        </w:rPr>
      </w:pPr>
    </w:p>
    <w:p w:rsidR="00B0762E" w:rsidRDefault="00B0762E" w:rsidP="00B0762E">
      <w:pPr>
        <w:ind w:firstLine="3828"/>
        <w:jc w:val="both"/>
        <w:rPr>
          <w:bCs/>
          <w:color w:val="000000"/>
          <w:shd w:val="clear" w:color="auto" w:fill="FFFFFF"/>
        </w:rPr>
      </w:pPr>
    </w:p>
    <w:p w:rsidR="00B0762E" w:rsidRDefault="00B0762E" w:rsidP="00B0762E">
      <w:pPr>
        <w:ind w:firstLine="3828"/>
        <w:jc w:val="both"/>
        <w:rPr>
          <w:color w:val="000000"/>
          <w:shd w:val="clear" w:color="auto" w:fill="FFFFFF"/>
        </w:rPr>
      </w:pPr>
      <w:r w:rsidRPr="007C449E">
        <w:rPr>
          <w:bCs/>
          <w:color w:val="000000"/>
          <w:shd w:val="clear" w:color="auto" w:fill="FFFFFF"/>
        </w:rPr>
        <w:t xml:space="preserve">Art. </w:t>
      </w:r>
      <w:r>
        <w:rPr>
          <w:bCs/>
          <w:color w:val="000000"/>
          <w:shd w:val="clear" w:color="auto" w:fill="FFFFFF"/>
        </w:rPr>
        <w:t xml:space="preserve">6° </w:t>
      </w:r>
      <w:r w:rsidRPr="003A7EB5">
        <w:rPr>
          <w:color w:val="000000"/>
          <w:shd w:val="clear" w:color="auto" w:fill="FFFFFF"/>
        </w:rPr>
        <w:t>Esta Lei entra em vigor na data de sua publicação</w:t>
      </w:r>
      <w:r>
        <w:rPr>
          <w:color w:val="000000"/>
          <w:shd w:val="clear" w:color="auto" w:fill="FFFFFF"/>
        </w:rPr>
        <w:t>.</w:t>
      </w:r>
    </w:p>
    <w:p w:rsidR="00B0762E" w:rsidRDefault="00B0762E" w:rsidP="00B0762E">
      <w:pPr>
        <w:ind w:firstLine="3828"/>
        <w:jc w:val="both"/>
        <w:rPr>
          <w:color w:val="000000"/>
          <w:shd w:val="clear" w:color="auto" w:fill="FFFFFF"/>
        </w:rPr>
      </w:pPr>
    </w:p>
    <w:p w:rsidR="00B0762E" w:rsidRPr="003A7EB5" w:rsidRDefault="00B0762E" w:rsidP="00B0762E">
      <w:pPr>
        <w:ind w:firstLine="3828"/>
        <w:jc w:val="both"/>
        <w:rPr>
          <w:color w:val="000000"/>
        </w:rPr>
      </w:pPr>
      <w:r w:rsidRPr="003A7EB5">
        <w:rPr>
          <w:color w:val="000000"/>
        </w:rPr>
        <w:t xml:space="preserve">Prefeitura de Mogi Mirim, </w:t>
      </w:r>
      <w:r>
        <w:rPr>
          <w:color w:val="000000"/>
        </w:rPr>
        <w:t xml:space="preserve">29 </w:t>
      </w:r>
      <w:r w:rsidRPr="003A7EB5">
        <w:rPr>
          <w:color w:val="000000"/>
        </w:rPr>
        <w:t>de outubro de 2</w:t>
      </w:r>
      <w:r>
        <w:rPr>
          <w:color w:val="000000"/>
        </w:rPr>
        <w:t xml:space="preserve"> </w:t>
      </w:r>
      <w:r w:rsidRPr="003A7EB5">
        <w:rPr>
          <w:color w:val="000000"/>
        </w:rPr>
        <w:t>018.</w:t>
      </w:r>
    </w:p>
    <w:p w:rsidR="00B0762E" w:rsidRPr="003A7EB5" w:rsidRDefault="00B0762E" w:rsidP="00B0762E">
      <w:pPr>
        <w:jc w:val="both"/>
        <w:rPr>
          <w:color w:val="000000"/>
        </w:rPr>
      </w:pPr>
    </w:p>
    <w:p w:rsidR="00B0762E" w:rsidRDefault="00B0762E" w:rsidP="00B0762E">
      <w:pPr>
        <w:jc w:val="both"/>
        <w:rPr>
          <w:color w:val="000000"/>
        </w:rPr>
      </w:pPr>
    </w:p>
    <w:p w:rsidR="00B0762E" w:rsidRDefault="00B0762E" w:rsidP="00B0762E">
      <w:pPr>
        <w:pStyle w:val="TextodeLei"/>
        <w:spacing w:before="0"/>
        <w:ind w:right="-57" w:firstLine="3544"/>
        <w:rPr>
          <w:color w:val="000000"/>
        </w:rPr>
      </w:pPr>
    </w:p>
    <w:p w:rsidR="00B0762E" w:rsidRPr="003A7EB5" w:rsidRDefault="00B0762E" w:rsidP="00B0762E">
      <w:pPr>
        <w:pStyle w:val="TextodeLei"/>
        <w:spacing w:before="0"/>
        <w:ind w:right="-57" w:firstLine="3544"/>
        <w:rPr>
          <w:rFonts w:ascii="Times New Roman" w:hAnsi="Times New Roman" w:cs="Times New Roman"/>
          <w:sz w:val="24"/>
          <w:szCs w:val="24"/>
        </w:rPr>
      </w:pPr>
      <w:r w:rsidRPr="003A7EB5">
        <w:rPr>
          <w:color w:val="000000"/>
        </w:rPr>
        <w:tab/>
      </w:r>
      <w:r w:rsidRPr="003A7EB5"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:rsidR="00B0762E" w:rsidRPr="003A7EB5" w:rsidRDefault="00B0762E" w:rsidP="00B0762E">
      <w:pPr>
        <w:jc w:val="both"/>
      </w:pPr>
      <w:r w:rsidRPr="003A7EB5"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3A7EB5">
        <w:t>Prefeito Municipal</w:t>
      </w:r>
    </w:p>
    <w:p w:rsidR="00B0762E" w:rsidRPr="003A7EB5" w:rsidRDefault="00B0762E" w:rsidP="00B0762E">
      <w:pPr>
        <w:jc w:val="both"/>
        <w:rPr>
          <w:color w:val="000000"/>
        </w:rPr>
      </w:pPr>
    </w:p>
    <w:p w:rsidR="00B0762E" w:rsidRDefault="00B0762E" w:rsidP="00B0762E">
      <w:pPr>
        <w:jc w:val="both"/>
        <w:rPr>
          <w:color w:val="000000"/>
        </w:rPr>
      </w:pPr>
    </w:p>
    <w:p w:rsidR="00B0762E" w:rsidRPr="003A7EB5" w:rsidRDefault="00B0762E" w:rsidP="00B0762E">
      <w:pPr>
        <w:jc w:val="both"/>
        <w:rPr>
          <w:color w:val="000000"/>
        </w:rPr>
      </w:pPr>
    </w:p>
    <w:p w:rsidR="00B0762E" w:rsidRPr="007C449E" w:rsidRDefault="00B0762E" w:rsidP="00B0762E">
      <w:pPr>
        <w:jc w:val="both"/>
        <w:rPr>
          <w:b/>
          <w:color w:val="000000"/>
          <w:sz w:val="20"/>
          <w:szCs w:val="20"/>
        </w:rPr>
      </w:pPr>
      <w:r w:rsidRPr="007C449E">
        <w:rPr>
          <w:b/>
          <w:color w:val="000000"/>
          <w:sz w:val="20"/>
          <w:szCs w:val="20"/>
        </w:rPr>
        <w:t>Projeto de Lei n°</w:t>
      </w:r>
      <w:r>
        <w:rPr>
          <w:b/>
          <w:color w:val="000000"/>
          <w:sz w:val="20"/>
          <w:szCs w:val="20"/>
        </w:rPr>
        <w:t xml:space="preserve"> 86 DE 2018</w:t>
      </w:r>
    </w:p>
    <w:p w:rsidR="00B0762E" w:rsidRPr="007C449E" w:rsidRDefault="00B0762E" w:rsidP="00B0762E">
      <w:pPr>
        <w:jc w:val="both"/>
        <w:rPr>
          <w:b/>
          <w:color w:val="000000"/>
          <w:sz w:val="20"/>
          <w:szCs w:val="20"/>
        </w:rPr>
      </w:pPr>
      <w:r w:rsidRPr="007C449E">
        <w:rPr>
          <w:b/>
          <w:color w:val="000000"/>
          <w:sz w:val="20"/>
          <w:szCs w:val="20"/>
        </w:rPr>
        <w:t>Autoria: Poder Executivo</w:t>
      </w:r>
    </w:p>
    <w:p w:rsidR="00556D20" w:rsidRPr="00556D20" w:rsidRDefault="00556D20" w:rsidP="00556D20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sectPr w:rsidR="00556D20" w:rsidRPr="00556D20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1D" w:rsidRDefault="0083301D" w:rsidP="004F0784">
      <w:r>
        <w:separator/>
      </w:r>
    </w:p>
  </w:endnote>
  <w:endnote w:type="continuationSeparator" w:id="0">
    <w:p w:rsidR="0083301D" w:rsidRDefault="0083301D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1D" w:rsidRDefault="0083301D" w:rsidP="004F0784">
      <w:r>
        <w:separator/>
      </w:r>
    </w:p>
  </w:footnote>
  <w:footnote w:type="continuationSeparator" w:id="0">
    <w:p w:rsidR="0083301D" w:rsidRDefault="0083301D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7590A"/>
    <w:rsid w:val="004F0784"/>
    <w:rsid w:val="00556D20"/>
    <w:rsid w:val="00594412"/>
    <w:rsid w:val="0083301D"/>
    <w:rsid w:val="00A906D8"/>
    <w:rsid w:val="00AB5A74"/>
    <w:rsid w:val="00B0762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C871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TextosemFormatao1">
    <w:name w:val="Texto sem Formatação1"/>
    <w:basedOn w:val="Normal"/>
    <w:rsid w:val="00B0762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odeLei">
    <w:name w:val="Texto de Lei"/>
    <w:basedOn w:val="Normal"/>
    <w:rsid w:val="00B0762E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5</cp:revision>
  <dcterms:created xsi:type="dcterms:W3CDTF">2018-10-15T14:27:00Z</dcterms:created>
  <dcterms:modified xsi:type="dcterms:W3CDTF">2018-10-30T14:17:00Z</dcterms:modified>
</cp:coreProperties>
</file>