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6BF" w:rsidRPr="00F23D41" w:rsidRDefault="001F56BF" w:rsidP="001F56BF">
      <w:pPr>
        <w:tabs>
          <w:tab w:val="left" w:pos="2835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PROJETO DE LEI Nº   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 </w:t>
      </w:r>
      <w:r w:rsidRPr="00F23D41">
        <w:rPr>
          <w:rFonts w:ascii="Arial" w:hAnsi="Arial" w:cs="Arial"/>
          <w:b/>
          <w:sz w:val="24"/>
          <w:szCs w:val="24"/>
        </w:rPr>
        <w:t xml:space="preserve"> ,</w:t>
      </w:r>
      <w:proofErr w:type="gramEnd"/>
      <w:r w:rsidRPr="00F23D41">
        <w:rPr>
          <w:rFonts w:ascii="Arial" w:hAnsi="Arial" w:cs="Arial"/>
          <w:b/>
          <w:sz w:val="24"/>
          <w:szCs w:val="24"/>
        </w:rPr>
        <w:t xml:space="preserve"> DE 201</w:t>
      </w:r>
      <w:r>
        <w:rPr>
          <w:rFonts w:ascii="Arial" w:hAnsi="Arial" w:cs="Arial"/>
          <w:b/>
          <w:sz w:val="24"/>
          <w:szCs w:val="24"/>
        </w:rPr>
        <w:t>9</w:t>
      </w:r>
      <w:r w:rsidRPr="00F23D41">
        <w:rPr>
          <w:rFonts w:ascii="Arial" w:hAnsi="Arial" w:cs="Arial"/>
          <w:b/>
          <w:sz w:val="24"/>
          <w:szCs w:val="24"/>
        </w:rPr>
        <w:t>.</w:t>
      </w:r>
    </w:p>
    <w:p w:rsidR="005D3999" w:rsidRPr="001F56BF" w:rsidRDefault="005D3999" w:rsidP="001F56BF">
      <w:pPr>
        <w:pStyle w:val="SemEspaamento"/>
        <w:ind w:left="4253"/>
        <w:jc w:val="both"/>
        <w:rPr>
          <w:b/>
        </w:rPr>
      </w:pPr>
      <w:r w:rsidRPr="001F56BF">
        <w:rPr>
          <w:b/>
        </w:rPr>
        <w:t>"Dispõe sobre a obrigatoriedade de afixação de placa com informações sobre despesas em eventos promovidos, patrocinados ou com emprego de dinheiro público, e dá outras providências.</w:t>
      </w:r>
    </w:p>
    <w:p w:rsidR="005D3999" w:rsidRDefault="005D3999" w:rsidP="005D3999">
      <w:pPr>
        <w:pStyle w:val="SemEspaamento"/>
      </w:pPr>
    </w:p>
    <w:p w:rsidR="005D3999" w:rsidRDefault="005D3999" w:rsidP="005D3999">
      <w:pPr>
        <w:pStyle w:val="SemEspaamento"/>
      </w:pPr>
      <w:r w:rsidRPr="005D3999">
        <w:t xml:space="preserve">A Câmara Municipal de </w:t>
      </w:r>
      <w:r>
        <w:t>Mogi Mirim</w:t>
      </w:r>
      <w:r w:rsidRPr="005D3999">
        <w:t xml:space="preserve"> DECRETA:</w:t>
      </w:r>
    </w:p>
    <w:p w:rsidR="005D3999" w:rsidRDefault="005D3999" w:rsidP="005D3999">
      <w:pPr>
        <w:pStyle w:val="SemEspaamento"/>
      </w:pPr>
    </w:p>
    <w:p w:rsidR="005D3999" w:rsidRDefault="005D3999" w:rsidP="005D3999">
      <w:pPr>
        <w:pStyle w:val="SemEspaamento"/>
      </w:pPr>
      <w:r w:rsidRPr="005D3999">
        <w:t xml:space="preserve">Art. 1º Os eventos realizados no âmbito do Município de </w:t>
      </w:r>
      <w:r>
        <w:t>Mogi Mirim</w:t>
      </w:r>
      <w:r w:rsidRPr="005D3999">
        <w:t xml:space="preserve"> que tiverem sido promovidos, patrocinados, apoiados ou contarem com qualquer tipo de infraestrutura ou recursos financeiros municipais deverão manter, durante a sua realização, placa contendo as seguintes informações:</w:t>
      </w:r>
    </w:p>
    <w:p w:rsidR="005D3999" w:rsidRDefault="005D3999" w:rsidP="005D3999">
      <w:pPr>
        <w:pStyle w:val="SemEspaamento"/>
      </w:pPr>
    </w:p>
    <w:p w:rsidR="005D3999" w:rsidRDefault="005D3999" w:rsidP="005D3999">
      <w:pPr>
        <w:pStyle w:val="SemEspaamento"/>
      </w:pPr>
      <w:r w:rsidRPr="005D3999">
        <w:t xml:space="preserve">I - </w:t>
      </w:r>
      <w:proofErr w:type="gramStart"/>
      <w:r w:rsidRPr="005D3999">
        <w:t>nome</w:t>
      </w:r>
      <w:proofErr w:type="gramEnd"/>
      <w:r w:rsidRPr="005D3999">
        <w:t xml:space="preserve"> ou descrição do evento;</w:t>
      </w:r>
    </w:p>
    <w:p w:rsidR="005D3999" w:rsidRDefault="005D3999" w:rsidP="005D3999">
      <w:pPr>
        <w:pStyle w:val="SemEspaamento"/>
      </w:pPr>
    </w:p>
    <w:p w:rsidR="005D3999" w:rsidRDefault="005D3999" w:rsidP="005D3999">
      <w:pPr>
        <w:pStyle w:val="SemEspaamento"/>
      </w:pPr>
      <w:r w:rsidRPr="005D3999">
        <w:t xml:space="preserve">II - </w:t>
      </w:r>
      <w:proofErr w:type="gramStart"/>
      <w:r w:rsidRPr="005D3999">
        <w:t>duração</w:t>
      </w:r>
      <w:proofErr w:type="gramEnd"/>
      <w:r w:rsidRPr="005D3999">
        <w:t xml:space="preserve"> programada e local;</w:t>
      </w:r>
    </w:p>
    <w:p w:rsidR="005D3999" w:rsidRDefault="005D3999" w:rsidP="005D3999">
      <w:pPr>
        <w:pStyle w:val="SemEspaamento"/>
      </w:pPr>
    </w:p>
    <w:p w:rsidR="005D3999" w:rsidRDefault="005D3999" w:rsidP="005D3999">
      <w:pPr>
        <w:pStyle w:val="SemEspaamento"/>
      </w:pPr>
      <w:r w:rsidRPr="005D3999">
        <w:t>III - nome do órgão responsável;</w:t>
      </w:r>
    </w:p>
    <w:p w:rsidR="005D3999" w:rsidRDefault="005D3999" w:rsidP="005D3999">
      <w:pPr>
        <w:pStyle w:val="SemEspaamento"/>
      </w:pPr>
    </w:p>
    <w:p w:rsidR="005D3999" w:rsidRDefault="005D3999" w:rsidP="005D3999">
      <w:pPr>
        <w:pStyle w:val="SemEspaamento"/>
      </w:pPr>
      <w:r w:rsidRPr="005D3999">
        <w:t xml:space="preserve">IV - </w:t>
      </w:r>
      <w:proofErr w:type="gramStart"/>
      <w:r w:rsidRPr="005D3999">
        <w:t>nome</w:t>
      </w:r>
      <w:proofErr w:type="gramEnd"/>
      <w:r w:rsidRPr="005D3999">
        <w:t xml:space="preserve"> do promotor e respectivo CNPJ ou CPF; </w:t>
      </w:r>
    </w:p>
    <w:p w:rsidR="005D3999" w:rsidRDefault="005D3999" w:rsidP="005D3999">
      <w:pPr>
        <w:pStyle w:val="SemEspaamento"/>
      </w:pPr>
    </w:p>
    <w:p w:rsidR="005D3999" w:rsidRDefault="005D3999" w:rsidP="005D3999">
      <w:pPr>
        <w:pStyle w:val="SemEspaamento"/>
      </w:pPr>
      <w:r w:rsidRPr="005D3999">
        <w:t xml:space="preserve">V - </w:t>
      </w:r>
      <w:proofErr w:type="gramStart"/>
      <w:r w:rsidRPr="005D3999">
        <w:t>quais</w:t>
      </w:r>
      <w:proofErr w:type="gramEnd"/>
      <w:r w:rsidRPr="005D3999">
        <w:t xml:space="preserve"> os recursos fornecidos pela administração pública municipal. </w:t>
      </w:r>
    </w:p>
    <w:p w:rsidR="005D3999" w:rsidRDefault="005D3999" w:rsidP="005D3999">
      <w:pPr>
        <w:pStyle w:val="SemEspaamento"/>
      </w:pPr>
    </w:p>
    <w:p w:rsidR="005D3999" w:rsidRDefault="005D3999" w:rsidP="005D3999">
      <w:pPr>
        <w:pStyle w:val="SemEspaamento"/>
      </w:pPr>
      <w:r w:rsidRPr="005D3999">
        <w:t xml:space="preserve">§ 1º As placas deverão ter no mínimo 2 </w:t>
      </w:r>
      <w:proofErr w:type="spellStart"/>
      <w:r w:rsidRPr="005D3999">
        <w:t>ms</w:t>
      </w:r>
      <w:proofErr w:type="spellEnd"/>
      <w:r w:rsidRPr="005D3999">
        <w:t xml:space="preserve"> x 1 </w:t>
      </w:r>
      <w:proofErr w:type="spellStart"/>
      <w:r w:rsidRPr="005D3999">
        <w:t>ms</w:t>
      </w:r>
      <w:proofErr w:type="spellEnd"/>
      <w:r w:rsidRPr="005D3999">
        <w:t xml:space="preserve">, sendo livre o material de confecção ou a forma de fixação, recaindo os custos sobre o promovente do evento. </w:t>
      </w:r>
    </w:p>
    <w:p w:rsidR="005D3999" w:rsidRDefault="005D3999" w:rsidP="005D3999">
      <w:pPr>
        <w:pStyle w:val="SemEspaamento"/>
      </w:pPr>
    </w:p>
    <w:p w:rsidR="005D3999" w:rsidRDefault="005D3999" w:rsidP="005D3999">
      <w:pPr>
        <w:pStyle w:val="SemEspaamento"/>
      </w:pPr>
      <w:r w:rsidRPr="005D3999">
        <w:t xml:space="preserve">§ 2º Os dizeres deverão ser grafados em fonte legível e de fácil visualização e o aviso deverá ser afixado na entrada do evento ou em local de fácil visualização da população. </w:t>
      </w:r>
    </w:p>
    <w:p w:rsidR="005D3999" w:rsidRDefault="005D3999" w:rsidP="005D3999">
      <w:pPr>
        <w:pStyle w:val="SemEspaamento"/>
      </w:pPr>
    </w:p>
    <w:p w:rsidR="005D3999" w:rsidRDefault="005D3999" w:rsidP="005D3999">
      <w:pPr>
        <w:pStyle w:val="SemEspaamento"/>
      </w:pPr>
      <w:r w:rsidRPr="005D3999">
        <w:t>Art. 2º A infração ao disposto nesta Lei acarretará ao infrator as seguintes cominações, a serem aplicadas sucessivamente:</w:t>
      </w:r>
    </w:p>
    <w:p w:rsidR="005D3999" w:rsidRDefault="005D3999" w:rsidP="005D3999">
      <w:pPr>
        <w:pStyle w:val="SemEspaamento"/>
      </w:pPr>
    </w:p>
    <w:p w:rsidR="005D3999" w:rsidRDefault="005D3999" w:rsidP="005D3999">
      <w:pPr>
        <w:pStyle w:val="SemEspaamento"/>
      </w:pPr>
      <w:r w:rsidRPr="005D3999">
        <w:t xml:space="preserve">I - </w:t>
      </w:r>
      <w:proofErr w:type="gramStart"/>
      <w:r w:rsidRPr="005D3999">
        <w:t>advertência</w:t>
      </w:r>
      <w:proofErr w:type="gramEnd"/>
      <w:r w:rsidRPr="005D3999">
        <w:t xml:space="preserve">; </w:t>
      </w:r>
    </w:p>
    <w:p w:rsidR="005D3999" w:rsidRDefault="005D3999" w:rsidP="005D3999">
      <w:pPr>
        <w:pStyle w:val="SemEspaamento"/>
      </w:pPr>
    </w:p>
    <w:p w:rsidR="005D3999" w:rsidRDefault="005D3999" w:rsidP="005D3999">
      <w:pPr>
        <w:pStyle w:val="SemEspaamento"/>
      </w:pPr>
      <w:r w:rsidRPr="005D3999">
        <w:t xml:space="preserve">II - </w:t>
      </w:r>
      <w:proofErr w:type="gramStart"/>
      <w:r w:rsidRPr="005D3999">
        <w:t>multa</w:t>
      </w:r>
      <w:proofErr w:type="gramEnd"/>
      <w:r w:rsidRPr="005D3999">
        <w:t xml:space="preserve"> de até R$ 10,00 (dez reais) por participante, tendo como mínimo R$ 500,00 e como máximo R$ 100.000,00 (cem mil reais). Parágrafo único. O valor da multa de que trata o inciso </w:t>
      </w:r>
    </w:p>
    <w:p w:rsidR="005D3999" w:rsidRDefault="005D3999" w:rsidP="005D3999">
      <w:pPr>
        <w:pStyle w:val="SemEspaamento"/>
      </w:pPr>
    </w:p>
    <w:p w:rsidR="005D3999" w:rsidRDefault="005D3999" w:rsidP="005D3999">
      <w:pPr>
        <w:pStyle w:val="SemEspaamento"/>
      </w:pPr>
      <w:r w:rsidRPr="005D3999">
        <w:t xml:space="preserve">II deste artigo será atualizado anualmente pela variação do Índice de Preços ao Consumidor Amplo - IPCA, apurado pelo Instituto Brasileiro de Geografia e Estatística - IBGE, acumulada no exercício anterior, sendo que no caso de extinção desse índice será adotado outro, criado por lei federal, que reflita e recomponha o poder aquisitivo da moeda. </w:t>
      </w:r>
    </w:p>
    <w:p w:rsidR="005D3999" w:rsidRDefault="005D3999" w:rsidP="005D3999">
      <w:pPr>
        <w:pStyle w:val="SemEspaamento"/>
      </w:pPr>
    </w:p>
    <w:p w:rsidR="005D3999" w:rsidRDefault="005D3999" w:rsidP="005D3999">
      <w:pPr>
        <w:pStyle w:val="SemEspaamento"/>
      </w:pPr>
      <w:r w:rsidRPr="005D3999">
        <w:t xml:space="preserve">Art. 3º A presente Lei será regulamentada pelo Executivo no prazo de 60 (sessenta) dias, contados da sua publicação. </w:t>
      </w:r>
    </w:p>
    <w:p w:rsidR="005D3999" w:rsidRDefault="005D3999" w:rsidP="005D3999">
      <w:pPr>
        <w:pStyle w:val="SemEspaamento"/>
      </w:pPr>
    </w:p>
    <w:p w:rsidR="005D3999" w:rsidRDefault="005D3999" w:rsidP="005D3999">
      <w:pPr>
        <w:pStyle w:val="SemEspaamento"/>
      </w:pPr>
      <w:r w:rsidRPr="005D3999">
        <w:t>Art. 4º As despesas decorrentes da execução desta Lei correrão por conta das dotações orçamentárias próprias, suplementadas se necessário.</w:t>
      </w:r>
    </w:p>
    <w:p w:rsidR="005D3999" w:rsidRDefault="005D3999" w:rsidP="005D3999">
      <w:pPr>
        <w:pStyle w:val="SemEspaamento"/>
      </w:pPr>
    </w:p>
    <w:p w:rsidR="005D3999" w:rsidRDefault="005D3999" w:rsidP="005D3999">
      <w:pPr>
        <w:pStyle w:val="SemEspaamento"/>
      </w:pPr>
      <w:r w:rsidRPr="005D3999">
        <w:t xml:space="preserve">Art. 5º Esta Lei entra em vigor na data de sua publicação, revogadas as disposições em contrário. </w:t>
      </w:r>
    </w:p>
    <w:p w:rsidR="002351A8" w:rsidRDefault="002351A8" w:rsidP="005D3999">
      <w:pPr>
        <w:pStyle w:val="SemEspaamento"/>
      </w:pPr>
    </w:p>
    <w:p w:rsidR="00066816" w:rsidRDefault="00066816" w:rsidP="00066816">
      <w:pPr>
        <w:pStyle w:val="SemEspaamento"/>
        <w:ind w:left="-142"/>
        <w:jc w:val="center"/>
      </w:pPr>
    </w:p>
    <w:p w:rsidR="005D3999" w:rsidRDefault="005D3999" w:rsidP="00066816">
      <w:pPr>
        <w:pStyle w:val="SemEspaamento"/>
        <w:ind w:left="-142"/>
        <w:jc w:val="center"/>
      </w:pPr>
      <w:bookmarkStart w:id="0" w:name="_GoBack"/>
      <w:bookmarkEnd w:id="0"/>
      <w:r>
        <w:t>Samuel Nogueira Cavalcante</w:t>
      </w:r>
    </w:p>
    <w:p w:rsidR="005D3999" w:rsidRDefault="005D3999" w:rsidP="005D3999">
      <w:pPr>
        <w:pStyle w:val="SemEspaamento"/>
        <w:jc w:val="center"/>
      </w:pPr>
      <w:r>
        <w:t>Vereador</w:t>
      </w:r>
    </w:p>
    <w:p w:rsidR="000E3D8C" w:rsidRDefault="000E3D8C" w:rsidP="005D3999">
      <w:pPr>
        <w:pStyle w:val="SemEspaamento"/>
        <w:jc w:val="center"/>
      </w:pPr>
    </w:p>
    <w:p w:rsidR="000E3D8C" w:rsidRDefault="000E3D8C" w:rsidP="005D3999">
      <w:pPr>
        <w:pStyle w:val="SemEspaamento"/>
        <w:jc w:val="center"/>
      </w:pPr>
      <w:r>
        <w:rPr>
          <w:b/>
        </w:rPr>
        <w:t>JUSTIFICATIVA</w:t>
      </w:r>
    </w:p>
    <w:p w:rsidR="000E3D8C" w:rsidRDefault="000E3D8C" w:rsidP="005D3999">
      <w:pPr>
        <w:pStyle w:val="SemEspaamento"/>
        <w:jc w:val="center"/>
      </w:pPr>
    </w:p>
    <w:p w:rsidR="008E2769" w:rsidRDefault="000E3D8C" w:rsidP="000E3D8C">
      <w:pPr>
        <w:pStyle w:val="SemEspaamento"/>
        <w:jc w:val="both"/>
      </w:pPr>
      <w:r>
        <w:t>A presente iniciativa visa atender ao disposto na Lei Federal nº 12.527, de 18 de novembro de 2011, cujo princípio norteador é dar publicidade à população do emprego e destinação de recursos públicos, incluindo-se nessa diretriz os recursos destinados a entidades privadas, ainda que sem fins lucrativos.</w:t>
      </w:r>
    </w:p>
    <w:p w:rsidR="008E2769" w:rsidRDefault="008E2769" w:rsidP="000E3D8C">
      <w:pPr>
        <w:pStyle w:val="SemEspaamento"/>
        <w:jc w:val="both"/>
      </w:pPr>
    </w:p>
    <w:p w:rsidR="008E2769" w:rsidRDefault="000E3D8C" w:rsidP="000E3D8C">
      <w:pPr>
        <w:pStyle w:val="SemEspaamento"/>
        <w:jc w:val="both"/>
      </w:pPr>
      <w:r>
        <w:t xml:space="preserve">Há de se depreender que as entidades que recebam incentivos, mesmo que em razão de comando legal, devem prestar contas da destinação de verbas públicas por elas recebidas, conforme a previsão dos artigos 7º e 8º abaixo transcritas: </w:t>
      </w:r>
    </w:p>
    <w:p w:rsidR="008E2769" w:rsidRDefault="008E2769" w:rsidP="000E3D8C">
      <w:pPr>
        <w:pStyle w:val="SemEspaamento"/>
        <w:jc w:val="both"/>
      </w:pPr>
    </w:p>
    <w:p w:rsidR="008E2769" w:rsidRDefault="000E3D8C" w:rsidP="000E3D8C">
      <w:pPr>
        <w:pStyle w:val="SemEspaamento"/>
        <w:jc w:val="both"/>
      </w:pPr>
      <w:r>
        <w:t>"Art. 7º O acesso à informação de que trata esta Lei compreende, entre outros, os direitos de obter:</w:t>
      </w:r>
    </w:p>
    <w:p w:rsidR="008E2769" w:rsidRDefault="008E2769" w:rsidP="000E3D8C">
      <w:pPr>
        <w:pStyle w:val="SemEspaamento"/>
        <w:jc w:val="both"/>
      </w:pPr>
    </w:p>
    <w:p w:rsidR="008E2769" w:rsidRDefault="000E3D8C" w:rsidP="000E3D8C">
      <w:pPr>
        <w:pStyle w:val="SemEspaamento"/>
        <w:jc w:val="both"/>
      </w:pPr>
      <w:r>
        <w:t>(...)</w:t>
      </w:r>
    </w:p>
    <w:p w:rsidR="008E2769" w:rsidRDefault="008E2769" w:rsidP="000E3D8C">
      <w:pPr>
        <w:pStyle w:val="SemEspaamento"/>
        <w:jc w:val="both"/>
      </w:pPr>
    </w:p>
    <w:p w:rsidR="008E2769" w:rsidRDefault="000E3D8C" w:rsidP="000E3D8C">
      <w:pPr>
        <w:pStyle w:val="SemEspaamento"/>
        <w:jc w:val="both"/>
      </w:pPr>
      <w:r>
        <w:t xml:space="preserve">VI - </w:t>
      </w:r>
      <w:proofErr w:type="gramStart"/>
      <w:r>
        <w:t>informação</w:t>
      </w:r>
      <w:proofErr w:type="gramEnd"/>
      <w:r>
        <w:t xml:space="preserve"> pertinente à administração do patrimônio público, utilização de recursos públicos, licitação, contratos administrativos; e </w:t>
      </w:r>
    </w:p>
    <w:p w:rsidR="008E2769" w:rsidRDefault="008E2769" w:rsidP="000E3D8C">
      <w:pPr>
        <w:pStyle w:val="SemEspaamento"/>
        <w:jc w:val="both"/>
      </w:pPr>
    </w:p>
    <w:p w:rsidR="008E2769" w:rsidRDefault="000E3D8C" w:rsidP="000E3D8C">
      <w:pPr>
        <w:pStyle w:val="SemEspaamento"/>
        <w:jc w:val="both"/>
      </w:pPr>
      <w:r>
        <w:t xml:space="preserve">VII - informação relativa: </w:t>
      </w:r>
    </w:p>
    <w:p w:rsidR="008E2769" w:rsidRDefault="008E2769" w:rsidP="000E3D8C">
      <w:pPr>
        <w:pStyle w:val="SemEspaamento"/>
        <w:jc w:val="both"/>
      </w:pPr>
    </w:p>
    <w:p w:rsidR="008E2769" w:rsidRDefault="000E3D8C" w:rsidP="000E3D8C">
      <w:pPr>
        <w:pStyle w:val="SemEspaamento"/>
        <w:jc w:val="both"/>
      </w:pPr>
      <w:r>
        <w:t>a) à implementação, acompanhamento e resultados dos programas, projetos e ações dos órgãos e entidades públicas, bem como metas e indicadores propostos;</w:t>
      </w:r>
    </w:p>
    <w:p w:rsidR="008E2769" w:rsidRDefault="008E2769" w:rsidP="000E3D8C">
      <w:pPr>
        <w:pStyle w:val="SemEspaamento"/>
        <w:jc w:val="both"/>
      </w:pPr>
    </w:p>
    <w:p w:rsidR="008E2769" w:rsidRDefault="000E3D8C" w:rsidP="000E3D8C">
      <w:pPr>
        <w:pStyle w:val="SemEspaamento"/>
        <w:jc w:val="both"/>
      </w:pPr>
      <w:r>
        <w:t>b) ao resultado de inspeções, auditorias, prestações e tomadas de contas realizadas pelos órgãos de controle interno e externo, incluindo prestações de contas relativas a exercícios anteriores."</w:t>
      </w:r>
    </w:p>
    <w:p w:rsidR="008E2769" w:rsidRDefault="008E2769" w:rsidP="000E3D8C">
      <w:pPr>
        <w:pStyle w:val="SemEspaamento"/>
        <w:jc w:val="both"/>
      </w:pPr>
    </w:p>
    <w:p w:rsidR="008E2769" w:rsidRDefault="000E3D8C" w:rsidP="000E3D8C">
      <w:pPr>
        <w:pStyle w:val="SemEspaamento"/>
        <w:jc w:val="both"/>
      </w:pPr>
      <w:r>
        <w:t xml:space="preserve">"Art. 8º É dever dos órgãos e entidades públicas promover, independentemente de requerimentos, a divulgação em local de fácil acesso, no âmbito de suas competências, de informações de interesse coletivo ou geral por eles produzidas ou custodiadas. </w:t>
      </w:r>
    </w:p>
    <w:p w:rsidR="008E2769" w:rsidRDefault="008E2769" w:rsidP="000E3D8C">
      <w:pPr>
        <w:pStyle w:val="SemEspaamento"/>
        <w:jc w:val="both"/>
      </w:pPr>
    </w:p>
    <w:p w:rsidR="008E2769" w:rsidRDefault="000E3D8C" w:rsidP="000E3D8C">
      <w:pPr>
        <w:pStyle w:val="SemEspaamento"/>
        <w:jc w:val="both"/>
      </w:pPr>
      <w:r>
        <w:t>§ 1º Na divulgação das informações a que se refere o caput, deverão constar, no mínimo:</w:t>
      </w:r>
    </w:p>
    <w:p w:rsidR="008E2769" w:rsidRDefault="008E2769" w:rsidP="000E3D8C">
      <w:pPr>
        <w:pStyle w:val="SemEspaamento"/>
        <w:jc w:val="both"/>
      </w:pPr>
    </w:p>
    <w:p w:rsidR="008E2769" w:rsidRDefault="000E3D8C" w:rsidP="000E3D8C">
      <w:pPr>
        <w:pStyle w:val="SemEspaamento"/>
        <w:jc w:val="both"/>
      </w:pPr>
      <w:r>
        <w:t xml:space="preserve">I - </w:t>
      </w:r>
      <w:proofErr w:type="gramStart"/>
      <w:r>
        <w:t>registro</w:t>
      </w:r>
      <w:proofErr w:type="gramEnd"/>
      <w:r>
        <w:t xml:space="preserve"> das competências e estrutura organizacional, endereços e telefones das respectivas unidades e horários de atendimento ao público; </w:t>
      </w:r>
    </w:p>
    <w:p w:rsidR="008E2769" w:rsidRDefault="008E2769" w:rsidP="000E3D8C">
      <w:pPr>
        <w:pStyle w:val="SemEspaamento"/>
        <w:jc w:val="both"/>
      </w:pPr>
    </w:p>
    <w:p w:rsidR="008E2769" w:rsidRDefault="000E3D8C" w:rsidP="000E3D8C">
      <w:pPr>
        <w:pStyle w:val="SemEspaamento"/>
        <w:jc w:val="both"/>
      </w:pPr>
      <w:r>
        <w:t xml:space="preserve">II - </w:t>
      </w:r>
      <w:proofErr w:type="gramStart"/>
      <w:r>
        <w:t>registros</w:t>
      </w:r>
      <w:proofErr w:type="gramEnd"/>
      <w:r>
        <w:t xml:space="preserve"> de quaisquer repasses ou transferências de recursos financeiros; </w:t>
      </w:r>
    </w:p>
    <w:p w:rsidR="008E2769" w:rsidRDefault="008E2769" w:rsidP="000E3D8C">
      <w:pPr>
        <w:pStyle w:val="SemEspaamento"/>
        <w:jc w:val="both"/>
      </w:pPr>
    </w:p>
    <w:p w:rsidR="008E2769" w:rsidRDefault="000E3D8C" w:rsidP="000E3D8C">
      <w:pPr>
        <w:pStyle w:val="SemEspaamento"/>
        <w:jc w:val="both"/>
      </w:pPr>
      <w:r>
        <w:t xml:space="preserve">III - registros das despesas; </w:t>
      </w:r>
    </w:p>
    <w:p w:rsidR="008E2769" w:rsidRDefault="008E2769" w:rsidP="000E3D8C">
      <w:pPr>
        <w:pStyle w:val="SemEspaamento"/>
        <w:jc w:val="both"/>
      </w:pPr>
    </w:p>
    <w:p w:rsidR="008E2769" w:rsidRDefault="000E3D8C" w:rsidP="000E3D8C">
      <w:pPr>
        <w:pStyle w:val="SemEspaamento"/>
        <w:jc w:val="both"/>
      </w:pPr>
      <w:r>
        <w:t xml:space="preserve">IV - </w:t>
      </w:r>
      <w:proofErr w:type="gramStart"/>
      <w:r>
        <w:t>informações</w:t>
      </w:r>
      <w:proofErr w:type="gramEnd"/>
      <w:r>
        <w:t xml:space="preserve"> concernentes a procedimentos licitatórios, inclusive os respectivos editais e resultados, bem como a todos os contratos celebrados; </w:t>
      </w:r>
    </w:p>
    <w:p w:rsidR="008E2769" w:rsidRDefault="008E2769" w:rsidP="000E3D8C">
      <w:pPr>
        <w:pStyle w:val="SemEspaamento"/>
        <w:jc w:val="both"/>
      </w:pPr>
    </w:p>
    <w:p w:rsidR="008E2769" w:rsidRDefault="000E3D8C" w:rsidP="000E3D8C">
      <w:pPr>
        <w:pStyle w:val="SemEspaamento"/>
        <w:jc w:val="both"/>
      </w:pPr>
      <w:r>
        <w:t xml:space="preserve">V - </w:t>
      </w:r>
      <w:proofErr w:type="gramStart"/>
      <w:r>
        <w:t>dados</w:t>
      </w:r>
      <w:proofErr w:type="gramEnd"/>
      <w:r>
        <w:t xml:space="preserve"> gerais para o acompanhamento de programas, ações, projetos e obras de órgãos e entidades;</w:t>
      </w:r>
    </w:p>
    <w:p w:rsidR="008E2769" w:rsidRDefault="008E2769" w:rsidP="000E3D8C">
      <w:pPr>
        <w:pStyle w:val="SemEspaamento"/>
        <w:jc w:val="both"/>
      </w:pPr>
    </w:p>
    <w:p w:rsidR="008E2769" w:rsidRDefault="000E3D8C" w:rsidP="000E3D8C">
      <w:pPr>
        <w:pStyle w:val="SemEspaamento"/>
        <w:jc w:val="both"/>
      </w:pPr>
      <w:r>
        <w:t xml:space="preserve">VI - </w:t>
      </w:r>
      <w:proofErr w:type="gramStart"/>
      <w:r>
        <w:t>respostas</w:t>
      </w:r>
      <w:proofErr w:type="gramEnd"/>
      <w:r>
        <w:t xml:space="preserve"> a perguntas mais frequentes da sociedade." </w:t>
      </w:r>
    </w:p>
    <w:p w:rsidR="008E2769" w:rsidRDefault="008E2769" w:rsidP="000E3D8C">
      <w:pPr>
        <w:pStyle w:val="SemEspaamento"/>
        <w:jc w:val="both"/>
      </w:pPr>
    </w:p>
    <w:p w:rsidR="008E2769" w:rsidRDefault="000E3D8C" w:rsidP="000E3D8C">
      <w:pPr>
        <w:pStyle w:val="SemEspaamento"/>
        <w:jc w:val="both"/>
      </w:pPr>
      <w:r>
        <w:t xml:space="preserve">Em consonância com os dispositivos transcritos, há que se ressaltar ainda que mesmo as entidades sem fins lucrativos são alcançadas por esses comandos, conforme a regência do art. 2º e respectivo parágrafo da mencionada lei federal: </w:t>
      </w:r>
    </w:p>
    <w:p w:rsidR="008E2769" w:rsidRDefault="008E2769" w:rsidP="000E3D8C">
      <w:pPr>
        <w:pStyle w:val="SemEspaamento"/>
        <w:jc w:val="both"/>
      </w:pPr>
    </w:p>
    <w:p w:rsidR="008E2769" w:rsidRDefault="008E2769" w:rsidP="000E3D8C">
      <w:pPr>
        <w:pStyle w:val="SemEspaamento"/>
        <w:jc w:val="both"/>
      </w:pPr>
      <w:r>
        <w:t>”</w:t>
      </w:r>
      <w:r w:rsidR="000E3D8C">
        <w:t>Art. 2º Aplicam-se as disposições desta Lei, no que couber, às entidades privadas sem fins lucrativos que recebam, para realização de ações de interesse público, recursos públicos</w:t>
      </w:r>
      <w:r>
        <w:t xml:space="preserve"> </w:t>
      </w:r>
      <w:r w:rsidR="000E3D8C">
        <w:t xml:space="preserve">diretamente do orçamento ou mediante subvenções sociais, contrato de gestão, termo de parceria, convênios, acordo, ajustes ou outros instrumentos congêneres. </w:t>
      </w:r>
    </w:p>
    <w:p w:rsidR="008E2769" w:rsidRDefault="008E2769" w:rsidP="000E3D8C">
      <w:pPr>
        <w:pStyle w:val="SemEspaamento"/>
        <w:jc w:val="both"/>
      </w:pPr>
    </w:p>
    <w:p w:rsidR="008E2769" w:rsidRDefault="008E2769" w:rsidP="000E3D8C">
      <w:pPr>
        <w:pStyle w:val="SemEspaamento"/>
        <w:jc w:val="both"/>
      </w:pPr>
    </w:p>
    <w:p w:rsidR="008E2769" w:rsidRDefault="000E3D8C" w:rsidP="000E3D8C">
      <w:pPr>
        <w:pStyle w:val="SemEspaamento"/>
        <w:jc w:val="both"/>
      </w:pPr>
      <w:r>
        <w:t xml:space="preserve">Parágrafo único. A publicidade a que estão submetidas as entidades citadas no caput refere-se à parcela dos recursos públicos recebidos e à sua destinação, sem prejuízo das prestações de contas a que estejam legalmente obrigadas." </w:t>
      </w:r>
    </w:p>
    <w:p w:rsidR="008E2769" w:rsidRDefault="008E2769" w:rsidP="000E3D8C">
      <w:pPr>
        <w:pStyle w:val="SemEspaamento"/>
        <w:jc w:val="both"/>
      </w:pPr>
    </w:p>
    <w:p w:rsidR="008E2769" w:rsidRDefault="000E3D8C" w:rsidP="000E3D8C">
      <w:pPr>
        <w:pStyle w:val="SemEspaamento"/>
        <w:jc w:val="both"/>
      </w:pPr>
      <w:r>
        <w:t>Até o presente momento os controles aplicados aos gastos de verbas públicas são institucionais, tais como</w:t>
      </w:r>
      <w:r w:rsidR="008E2769">
        <w:t>,</w:t>
      </w:r>
      <w:r>
        <w:t xml:space="preserve"> o Poder Legislativo e o próprio Executivo, através de seus órgãos de controladoria. </w:t>
      </w:r>
    </w:p>
    <w:p w:rsidR="008E2769" w:rsidRDefault="008E2769" w:rsidP="000E3D8C">
      <w:pPr>
        <w:pStyle w:val="SemEspaamento"/>
        <w:jc w:val="both"/>
      </w:pPr>
    </w:p>
    <w:p w:rsidR="008E2769" w:rsidRDefault="000E3D8C" w:rsidP="000E3D8C">
      <w:pPr>
        <w:pStyle w:val="SemEspaamento"/>
        <w:jc w:val="both"/>
      </w:pPr>
      <w:r>
        <w:t xml:space="preserve">No entanto, </w:t>
      </w:r>
      <w:proofErr w:type="gramStart"/>
      <w:r>
        <w:t>uma dos pilares</w:t>
      </w:r>
      <w:proofErr w:type="gramEnd"/>
      <w:r>
        <w:t xml:space="preserve"> da democracia é a transparência de informação e o controle direto da população, o que será atendido se aprovada a presente propositura legislativa. Note-se que se trata de instrumentalização de dispositivos já existentes, a fim de tornar os princípios nacionais efetivos em nosso Município, sem qualquer custo adicional para os cofres públicos.</w:t>
      </w:r>
    </w:p>
    <w:p w:rsidR="008E2769" w:rsidRDefault="008E2769" w:rsidP="000E3D8C">
      <w:pPr>
        <w:pStyle w:val="SemEspaamento"/>
        <w:jc w:val="both"/>
      </w:pPr>
    </w:p>
    <w:p w:rsidR="000E3D8C" w:rsidRDefault="000E3D8C" w:rsidP="000E3D8C">
      <w:pPr>
        <w:pStyle w:val="SemEspaamento"/>
        <w:jc w:val="both"/>
      </w:pPr>
      <w:r>
        <w:t>Pelos motivos acima apresentados solicito aos nobres pares a aprovação do presente projeto de lei</w:t>
      </w:r>
      <w:r w:rsidR="008E2769">
        <w:t>.</w:t>
      </w:r>
    </w:p>
    <w:p w:rsidR="008E2769" w:rsidRDefault="008E2769" w:rsidP="000E3D8C">
      <w:pPr>
        <w:pStyle w:val="SemEspaamento"/>
        <w:jc w:val="both"/>
      </w:pPr>
    </w:p>
    <w:p w:rsidR="008E2769" w:rsidRDefault="008E2769" w:rsidP="000E3D8C">
      <w:pPr>
        <w:pStyle w:val="SemEspaamento"/>
        <w:jc w:val="both"/>
      </w:pPr>
    </w:p>
    <w:p w:rsidR="008E2769" w:rsidRPr="000E3D8C" w:rsidRDefault="008E2769" w:rsidP="000E3D8C">
      <w:pPr>
        <w:pStyle w:val="SemEspaamento"/>
        <w:jc w:val="both"/>
      </w:pPr>
    </w:p>
    <w:sectPr w:rsidR="008E2769" w:rsidRPr="000E3D8C" w:rsidSect="00066816">
      <w:headerReference w:type="default" r:id="rId6"/>
      <w:pgSz w:w="11906" w:h="16838"/>
      <w:pgMar w:top="1417" w:right="849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1D24" w:rsidRDefault="00B71D24" w:rsidP="001F56BF">
      <w:pPr>
        <w:spacing w:after="0" w:line="240" w:lineRule="auto"/>
      </w:pPr>
      <w:r>
        <w:separator/>
      </w:r>
    </w:p>
  </w:endnote>
  <w:endnote w:type="continuationSeparator" w:id="0">
    <w:p w:rsidR="00B71D24" w:rsidRDefault="00B71D24" w:rsidP="001F5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1D24" w:rsidRDefault="00B71D24" w:rsidP="001F56BF">
      <w:pPr>
        <w:spacing w:after="0" w:line="240" w:lineRule="auto"/>
      </w:pPr>
      <w:r>
        <w:separator/>
      </w:r>
    </w:p>
  </w:footnote>
  <w:footnote w:type="continuationSeparator" w:id="0">
    <w:p w:rsidR="00B71D24" w:rsidRDefault="00B71D24" w:rsidP="001F56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6BF" w:rsidRDefault="001F56BF" w:rsidP="001F56BF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  <w:lang w:eastAsia="pt-BR"/>
      </w:rPr>
      <w:drawing>
        <wp:anchor distT="0" distB="0" distL="90170" distR="90170" simplePos="0" relativeHeight="251659264" behindDoc="1" locked="0" layoutInCell="1" allowOverlap="1">
          <wp:simplePos x="0" y="0"/>
          <wp:positionH relativeFrom="page">
            <wp:posOffset>622935</wp:posOffset>
          </wp:positionH>
          <wp:positionV relativeFrom="page">
            <wp:posOffset>459740</wp:posOffset>
          </wp:positionV>
          <wp:extent cx="1028700" cy="748030"/>
          <wp:effectExtent l="0" t="0" r="0" b="0"/>
          <wp:wrapNone/>
          <wp:docPr id="5" name="Imagem 5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F56BF" w:rsidRDefault="001F56BF" w:rsidP="001F56BF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1F56BF" w:rsidRDefault="001F56BF" w:rsidP="001F56BF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1F56BF" w:rsidRDefault="001F56B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1A8"/>
    <w:rsid w:val="00066816"/>
    <w:rsid w:val="000E3D8C"/>
    <w:rsid w:val="001F56BF"/>
    <w:rsid w:val="002351A8"/>
    <w:rsid w:val="004F6859"/>
    <w:rsid w:val="005D3999"/>
    <w:rsid w:val="0070714B"/>
    <w:rsid w:val="008E2769"/>
    <w:rsid w:val="00B71D24"/>
    <w:rsid w:val="00DF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7872273-59D1-4BAA-903F-47B7B5A16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56B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3999"/>
    <w:pPr>
      <w:spacing w:after="0" w:line="240" w:lineRule="auto"/>
    </w:pPr>
  </w:style>
  <w:style w:type="paragraph" w:styleId="Cabealho">
    <w:name w:val="header"/>
    <w:basedOn w:val="Normal"/>
    <w:link w:val="CabealhoChar"/>
    <w:unhideWhenUsed/>
    <w:rsid w:val="001F56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1F56BF"/>
  </w:style>
  <w:style w:type="paragraph" w:styleId="Rodap">
    <w:name w:val="footer"/>
    <w:basedOn w:val="Normal"/>
    <w:link w:val="RodapChar"/>
    <w:uiPriority w:val="99"/>
    <w:unhideWhenUsed/>
    <w:rsid w:val="001F56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56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899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Emannuel Axell</dc:creator>
  <cp:keywords/>
  <dc:description/>
  <cp:lastModifiedBy>Samuel</cp:lastModifiedBy>
  <cp:revision>4</cp:revision>
  <dcterms:created xsi:type="dcterms:W3CDTF">2019-03-26T11:47:00Z</dcterms:created>
  <dcterms:modified xsi:type="dcterms:W3CDTF">2019-03-26T12:33:00Z</dcterms:modified>
</cp:coreProperties>
</file>