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2A" w:rsidRDefault="0071762A" w:rsidP="0071762A">
      <w:pPr>
        <w:ind w:left="3828"/>
        <w:jc w:val="both"/>
        <w:rPr>
          <w:b/>
          <w:color w:val="000000"/>
        </w:rPr>
      </w:pPr>
    </w:p>
    <w:p w:rsidR="0071762A" w:rsidRPr="003A7EB5" w:rsidRDefault="0071762A" w:rsidP="0071762A">
      <w:pPr>
        <w:ind w:left="3828"/>
        <w:jc w:val="both"/>
        <w:rPr>
          <w:b/>
        </w:rPr>
      </w:pPr>
      <w:r w:rsidRPr="003A7EB5">
        <w:rPr>
          <w:b/>
          <w:color w:val="000000"/>
        </w:rPr>
        <w:t>PROJETO DE LEI Nº</w:t>
      </w:r>
      <w:r>
        <w:rPr>
          <w:b/>
          <w:color w:val="000000"/>
        </w:rPr>
        <w:t xml:space="preserve"> 34 DE 2019</w:t>
      </w:r>
    </w:p>
    <w:p w:rsidR="0071762A" w:rsidRPr="003A7EB5" w:rsidRDefault="0071762A" w:rsidP="0071762A">
      <w:pPr>
        <w:ind w:left="3828"/>
        <w:jc w:val="both"/>
        <w:rPr>
          <w:b/>
          <w:color w:val="000000"/>
        </w:rPr>
      </w:pPr>
    </w:p>
    <w:p w:rsidR="0071762A" w:rsidRPr="003A7EB5" w:rsidRDefault="0071762A" w:rsidP="0071762A">
      <w:pPr>
        <w:ind w:left="3828"/>
        <w:jc w:val="both"/>
        <w:rPr>
          <w:b/>
          <w:caps/>
        </w:rPr>
      </w:pPr>
      <w:r>
        <w:rPr>
          <w:b/>
          <w:caps/>
          <w:color w:val="000000"/>
        </w:rPr>
        <w:t xml:space="preserve">ALTERA A LEI MUNICIPAL Nº 6.050, DE 27 DE NOVEMBRO DE 2018, QUE DISPÕE SOBRE </w:t>
      </w:r>
      <w:r w:rsidRPr="003A7EB5">
        <w:rPr>
          <w:b/>
          <w:caps/>
          <w:color w:val="000000"/>
        </w:rPr>
        <w:t xml:space="preserve">os Princípios e </w:t>
      </w:r>
      <w:r>
        <w:rPr>
          <w:b/>
          <w:caps/>
          <w:color w:val="000000"/>
        </w:rPr>
        <w:t xml:space="preserve">AS </w:t>
      </w:r>
      <w:r w:rsidRPr="003A7EB5">
        <w:rPr>
          <w:b/>
          <w:caps/>
          <w:color w:val="000000"/>
        </w:rPr>
        <w:t>Diretrizes para a Garantia dos Direi</w:t>
      </w:r>
      <w:r>
        <w:rPr>
          <w:b/>
          <w:caps/>
          <w:color w:val="000000"/>
        </w:rPr>
        <w:t>tos da Criança e do Adolescente E</w:t>
      </w:r>
      <w:r w:rsidRPr="003A7EB5">
        <w:rPr>
          <w:b/>
          <w:caps/>
          <w:color w:val="000000"/>
        </w:rPr>
        <w:t xml:space="preserve"> REESTRUTURA o Funcionamento do Conselho Municipal dos Direitos da Criança e do Adolescente. </w:t>
      </w:r>
    </w:p>
    <w:p w:rsidR="0071762A" w:rsidRPr="003A7EB5" w:rsidRDefault="0071762A" w:rsidP="0071762A">
      <w:pPr>
        <w:jc w:val="both"/>
        <w:rPr>
          <w:color w:val="000000"/>
        </w:rPr>
      </w:pPr>
    </w:p>
    <w:p w:rsidR="0071762A" w:rsidRPr="003A7EB5" w:rsidRDefault="0071762A" w:rsidP="0071762A">
      <w:pPr>
        <w:ind w:firstLine="3828"/>
        <w:jc w:val="both"/>
      </w:pPr>
      <w:r w:rsidRPr="003A7EB5">
        <w:rPr>
          <w:color w:val="000000"/>
        </w:rPr>
        <w:t xml:space="preserve">A Câmara de Mogi Mirim aprovou e o Prefeito Municipal </w:t>
      </w:r>
      <w:r w:rsidRPr="003A7EB5">
        <w:rPr>
          <w:b/>
          <w:color w:val="000000"/>
        </w:rPr>
        <w:t>CARLOS NELSON BUENO</w:t>
      </w:r>
      <w:r w:rsidRPr="003A7EB5">
        <w:rPr>
          <w:color w:val="000000"/>
        </w:rPr>
        <w:t xml:space="preserve"> sanciona e promulga a seguinte Lei:</w:t>
      </w:r>
    </w:p>
    <w:p w:rsidR="0071762A" w:rsidRPr="003A7EB5" w:rsidRDefault="0071762A" w:rsidP="0071762A">
      <w:pPr>
        <w:jc w:val="both"/>
        <w:rPr>
          <w:color w:val="000000"/>
        </w:rPr>
      </w:pPr>
    </w:p>
    <w:p w:rsidR="0071762A" w:rsidRPr="003A7EB5" w:rsidRDefault="0071762A" w:rsidP="0071762A">
      <w:pPr>
        <w:ind w:firstLine="3828"/>
        <w:jc w:val="both"/>
      </w:pPr>
      <w:r w:rsidRPr="003A7EB5">
        <w:rPr>
          <w:bCs/>
          <w:color w:val="000000"/>
        </w:rPr>
        <w:t xml:space="preserve">Art. </w:t>
      </w:r>
      <w:r>
        <w:rPr>
          <w:bCs/>
          <w:color w:val="000000"/>
        </w:rPr>
        <w:t>1º O art. 20, da Lei Municipal nº 6.050, de 27 de novembro de 2018, passa a viger alterado nos termos a seguir:</w:t>
      </w:r>
    </w:p>
    <w:p w:rsidR="0071762A" w:rsidRPr="003A7EB5" w:rsidRDefault="0071762A" w:rsidP="0071762A">
      <w:pPr>
        <w:ind w:firstLine="3828"/>
        <w:jc w:val="both"/>
        <w:rPr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bCs/>
          <w:i/>
          <w:color w:val="000000"/>
        </w:rPr>
        <w:t>Art. 20.</w:t>
      </w:r>
      <w:r w:rsidRPr="00977BD7">
        <w:rPr>
          <w:b/>
          <w:i/>
          <w:color w:val="000000"/>
        </w:rPr>
        <w:t xml:space="preserve"> O Conselho Municipal dos Direitos da Criança e do Adolescente é composto de forma colegiada e paritária, por 16 (dezesseis) membros, sendo: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I – 08 (oito) representantes de órgãos do Poder Público, funcionários contratados através de concurso público, como conselheiros titulares, com os respectivos suplentes, que representarão junto ao CMDCA, de acordo com o que dispuser o seu regimento interno: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a) Secretaria de Assistência Social / Proteção Básica;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b) Secretaria de Assistência Social / Proteção Social Especial;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c) Secretaria de Finanças;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d) Secretaria da Saúde;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e) Secretaria de Segurança Pública;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f) Secretaria da Educação;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</w:rPr>
        <w:t>g) Secretaria de Negócios Jurídicos;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h) Secretaria de Cultura e Turismo e Secretaria de Esporte, Juventude e Lazer, com alternância entre o membro titular e suplente.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II – 08 (oito) representantes de</w:t>
      </w:r>
      <w:r w:rsidRPr="00977BD7">
        <w:rPr>
          <w:b/>
          <w:i/>
          <w:color w:val="000000"/>
          <w:shd w:val="clear" w:color="auto" w:fill="FFFFFF"/>
        </w:rPr>
        <w:t xml:space="preserve"> Organizações da Sociedade Civil e de segmentos da sociedade que prestem serviço de aten</w:t>
      </w:r>
      <w:r w:rsidRPr="00977BD7">
        <w:rPr>
          <w:b/>
          <w:i/>
          <w:color w:val="000000"/>
        </w:rPr>
        <w:t xml:space="preserve">dimento e defesa da criança e do adolescente, ambos sediados neste município, como conselheiros titulares, com os respectivos suplentes, não necessariamente da mesma </w:t>
      </w:r>
      <w:r w:rsidRPr="00977BD7">
        <w:rPr>
          <w:b/>
          <w:i/>
          <w:color w:val="000000"/>
        </w:rPr>
        <w:lastRenderedPageBreak/>
        <w:t>organização não governamental e segmentos da sociedade, que representarão a sociedade civil, junto ao CMDCA, de acordo com o que dispuser o seu regimento interno; representação assim composta: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a) 05 (cinco) representantes das</w:t>
      </w:r>
      <w:r w:rsidRPr="00977BD7">
        <w:rPr>
          <w:b/>
          <w:i/>
          <w:color w:val="000000"/>
          <w:shd w:val="clear" w:color="auto" w:fill="FFFFFF"/>
        </w:rPr>
        <w:t xml:space="preserve"> Organizações da Sociedade Civil como conselheiros titulares e seus respectivos suple</w:t>
      </w:r>
      <w:r w:rsidRPr="00977BD7">
        <w:rPr>
          <w:b/>
          <w:i/>
          <w:color w:val="000000"/>
        </w:rPr>
        <w:t>ntes, não necessariamente da mesma organização, sendo: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1. organizações da sociedade civil de orientação e apoio sociofamiliar;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2. organizações da sociedade civil de apoio socioeducativo em meio aberto;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3. organizações da sociedade civil de acolhimento institucional e/ou colocação familiar;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4. organizações da sociedade civil que prestam atendimento à criança e ao adolescente com deficiência e/ou transtornos psíquicos;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5. organizações da sociedade civil que prestam atendimento a criança e ao adolescente.</w:t>
      </w: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rFonts w:eastAsia="Verdana"/>
          <w:b/>
          <w:i/>
          <w:color w:val="000000"/>
        </w:rPr>
        <w:tab/>
      </w:r>
      <w:r w:rsidRPr="00977BD7">
        <w:rPr>
          <w:rFonts w:eastAsia="Verdana"/>
          <w:b/>
          <w:i/>
          <w:color w:val="000000"/>
        </w:rPr>
        <w:tab/>
      </w:r>
      <w:r w:rsidRPr="00977BD7">
        <w:rPr>
          <w:rFonts w:eastAsia="Verdana"/>
          <w:b/>
          <w:i/>
          <w:color w:val="000000"/>
        </w:rPr>
        <w:tab/>
      </w:r>
      <w:r w:rsidRPr="00977BD7">
        <w:rPr>
          <w:rFonts w:eastAsia="Verdana"/>
          <w:b/>
          <w:i/>
          <w:color w:val="000000"/>
        </w:rPr>
        <w:tab/>
      </w:r>
      <w:r w:rsidRPr="00977BD7">
        <w:rPr>
          <w:rFonts w:eastAsia="Verdana"/>
          <w:b/>
          <w:i/>
          <w:color w:val="000000"/>
        </w:rPr>
        <w:tab/>
      </w:r>
      <w:r w:rsidRPr="00977BD7">
        <w:rPr>
          <w:rFonts w:eastAsia="Verdana"/>
          <w:b/>
          <w:i/>
          <w:color w:val="000000"/>
        </w:rPr>
        <w:tab/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rFonts w:eastAsia="Verdana"/>
          <w:b/>
          <w:i/>
          <w:color w:val="000000"/>
        </w:rPr>
        <w:t xml:space="preserve">b) </w:t>
      </w:r>
      <w:r w:rsidRPr="00977BD7">
        <w:rPr>
          <w:b/>
          <w:i/>
          <w:color w:val="000000"/>
        </w:rPr>
        <w:t>01 representante da Ordem dos Advogados do Brasil – OAB e/ ou organização de atendimento jurídico com atuação na Vara da Família ou Infância;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  <w:r w:rsidRPr="00977BD7">
        <w:rPr>
          <w:b/>
          <w:i/>
          <w:color w:val="000000"/>
        </w:rPr>
        <w:t>c) 01 representante de organização de atendimento em saúde e/ou defesa em relação ao uso de álcool e outras drogas;</w:t>
      </w:r>
    </w:p>
    <w:p w:rsidR="0071762A" w:rsidRPr="00977BD7" w:rsidRDefault="0071762A" w:rsidP="0071762A">
      <w:pPr>
        <w:ind w:left="1134" w:firstLine="2694"/>
        <w:jc w:val="both"/>
        <w:rPr>
          <w:b/>
          <w:i/>
          <w:color w:val="000000"/>
        </w:rPr>
      </w:pPr>
    </w:p>
    <w:p w:rsidR="0071762A" w:rsidRPr="00977BD7" w:rsidRDefault="0071762A" w:rsidP="0071762A">
      <w:pPr>
        <w:ind w:left="1134" w:firstLine="2694"/>
        <w:jc w:val="both"/>
        <w:rPr>
          <w:b/>
          <w:i/>
        </w:rPr>
      </w:pPr>
      <w:r w:rsidRPr="00977BD7">
        <w:rPr>
          <w:b/>
          <w:i/>
          <w:color w:val="000000"/>
        </w:rPr>
        <w:t>d) 01 representante de adolescente da sociedade civil</w:t>
      </w:r>
      <w:r>
        <w:rPr>
          <w:b/>
          <w:i/>
          <w:color w:val="000000"/>
        </w:rPr>
        <w:t>,</w:t>
      </w:r>
      <w:r w:rsidRPr="00977BD7">
        <w:rPr>
          <w:b/>
          <w:i/>
          <w:color w:val="000000"/>
        </w:rPr>
        <w:t xml:space="preserve"> eleito por instituições educacionais públicas ou privadas, conforme legislação em vigor e Resolução nº 191/2017 do CONANDA.</w:t>
      </w:r>
    </w:p>
    <w:p w:rsidR="0071762A" w:rsidRDefault="0071762A" w:rsidP="0071762A">
      <w:pPr>
        <w:jc w:val="both"/>
        <w:rPr>
          <w:color w:val="000000"/>
          <w:shd w:val="clear" w:color="auto" w:fill="FFFFFF"/>
        </w:rPr>
      </w:pPr>
    </w:p>
    <w:p w:rsidR="0071762A" w:rsidRDefault="0071762A" w:rsidP="0071762A">
      <w:pPr>
        <w:jc w:val="both"/>
        <w:rPr>
          <w:color w:val="000000"/>
          <w:shd w:val="clear" w:color="auto" w:fill="FFFFFF"/>
        </w:rPr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7C449E">
        <w:rPr>
          <w:bCs/>
          <w:color w:val="000000"/>
          <w:shd w:val="clear" w:color="auto" w:fill="FFFFFF"/>
        </w:rPr>
        <w:t xml:space="preserve">Art. </w:t>
      </w:r>
      <w:r>
        <w:rPr>
          <w:bCs/>
          <w:color w:val="000000"/>
          <w:shd w:val="clear" w:color="auto" w:fill="FFFFFF"/>
        </w:rPr>
        <w:t>2º</w:t>
      </w:r>
      <w:r w:rsidRPr="003A7EB5">
        <w:rPr>
          <w:b/>
          <w:bCs/>
          <w:color w:val="000000"/>
          <w:shd w:val="clear" w:color="auto" w:fill="FFFFFF"/>
        </w:rPr>
        <w:t xml:space="preserve"> </w:t>
      </w:r>
      <w:r w:rsidRPr="003A7EB5">
        <w:rPr>
          <w:color w:val="000000"/>
          <w:shd w:val="clear" w:color="auto" w:fill="FFFFFF"/>
        </w:rPr>
        <w:t>Esta Lei entra em vigor na data de sua publicação</w:t>
      </w:r>
      <w:r>
        <w:rPr>
          <w:color w:val="000000"/>
          <w:shd w:val="clear" w:color="auto" w:fill="FFFFFF"/>
        </w:rPr>
        <w:t>.</w:t>
      </w:r>
    </w:p>
    <w:p w:rsidR="0071762A" w:rsidRDefault="0071762A" w:rsidP="0071762A">
      <w:pPr>
        <w:jc w:val="both"/>
        <w:rPr>
          <w:color w:val="000000"/>
          <w:shd w:val="clear" w:color="auto" w:fill="FFFFFF"/>
        </w:rPr>
      </w:pPr>
    </w:p>
    <w:p w:rsidR="0071762A" w:rsidRPr="003A7EB5" w:rsidRDefault="0071762A" w:rsidP="0071762A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Prefeitura de Mogi Mirim, </w:t>
      </w:r>
      <w:r>
        <w:rPr>
          <w:color w:val="000000"/>
        </w:rPr>
        <w:t>4 de abril de 2 019</w:t>
      </w:r>
      <w:r w:rsidRPr="003A7EB5">
        <w:rPr>
          <w:color w:val="000000"/>
        </w:rPr>
        <w:t>.</w:t>
      </w:r>
    </w:p>
    <w:p w:rsidR="0071762A" w:rsidRPr="003A7EB5" w:rsidRDefault="0071762A" w:rsidP="0071762A">
      <w:pPr>
        <w:jc w:val="both"/>
        <w:rPr>
          <w:color w:val="000000"/>
        </w:rPr>
      </w:pPr>
    </w:p>
    <w:p w:rsidR="0071762A" w:rsidRDefault="0071762A" w:rsidP="0071762A">
      <w:pPr>
        <w:jc w:val="both"/>
        <w:rPr>
          <w:color w:val="000000"/>
        </w:rPr>
      </w:pPr>
    </w:p>
    <w:p w:rsidR="0071762A" w:rsidRPr="003A7EB5" w:rsidRDefault="0071762A" w:rsidP="0071762A">
      <w:pPr>
        <w:jc w:val="both"/>
        <w:rPr>
          <w:color w:val="000000"/>
        </w:rPr>
      </w:pPr>
    </w:p>
    <w:p w:rsidR="0071762A" w:rsidRPr="003A7EB5" w:rsidRDefault="0071762A" w:rsidP="0071762A">
      <w:pPr>
        <w:pStyle w:val="TextodeLei"/>
        <w:spacing w:before="0"/>
        <w:ind w:right="-57" w:firstLine="3544"/>
        <w:rPr>
          <w:rFonts w:ascii="Times New Roman" w:hAnsi="Times New Roman" w:cs="Times New Roman"/>
          <w:sz w:val="24"/>
          <w:szCs w:val="24"/>
        </w:rPr>
      </w:pPr>
      <w:r w:rsidRPr="003A7EB5">
        <w:rPr>
          <w:color w:val="000000"/>
        </w:rPr>
        <w:tab/>
      </w:r>
      <w:r w:rsidRPr="003A7EB5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:rsidR="0071762A" w:rsidRPr="003A7EB5" w:rsidRDefault="0071762A" w:rsidP="0071762A">
      <w:pPr>
        <w:jc w:val="both"/>
      </w:pPr>
      <w:r w:rsidRPr="003A7EB5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3A7EB5">
        <w:t>Prefeito Municipal</w:t>
      </w:r>
    </w:p>
    <w:p w:rsidR="0071762A" w:rsidRPr="003A7EB5" w:rsidRDefault="0071762A" w:rsidP="0071762A">
      <w:pPr>
        <w:jc w:val="both"/>
        <w:rPr>
          <w:color w:val="000000"/>
        </w:rPr>
      </w:pPr>
    </w:p>
    <w:p w:rsidR="0071762A" w:rsidRPr="003A7EB5" w:rsidRDefault="0071762A" w:rsidP="0071762A">
      <w:pPr>
        <w:jc w:val="both"/>
        <w:rPr>
          <w:color w:val="000000"/>
        </w:rPr>
      </w:pPr>
    </w:p>
    <w:p w:rsidR="0071762A" w:rsidRPr="007C449E" w:rsidRDefault="0071762A" w:rsidP="0071762A">
      <w:pPr>
        <w:jc w:val="both"/>
        <w:rPr>
          <w:b/>
          <w:color w:val="000000"/>
          <w:sz w:val="20"/>
          <w:szCs w:val="20"/>
        </w:rPr>
      </w:pPr>
      <w:r w:rsidRPr="007C449E">
        <w:rPr>
          <w:b/>
          <w:color w:val="000000"/>
          <w:sz w:val="20"/>
          <w:szCs w:val="20"/>
        </w:rPr>
        <w:t>Projeto de Lei n°</w:t>
      </w:r>
      <w:r>
        <w:rPr>
          <w:b/>
          <w:color w:val="000000"/>
          <w:sz w:val="20"/>
          <w:szCs w:val="20"/>
        </w:rPr>
        <w:t xml:space="preserve"> 34 de 2019</w:t>
      </w:r>
    </w:p>
    <w:p w:rsidR="0071762A" w:rsidRPr="007C449E" w:rsidRDefault="0071762A" w:rsidP="0071762A">
      <w:pPr>
        <w:jc w:val="both"/>
        <w:rPr>
          <w:b/>
          <w:color w:val="000000"/>
          <w:sz w:val="20"/>
          <w:szCs w:val="20"/>
        </w:rPr>
      </w:pPr>
      <w:r w:rsidRPr="007C449E">
        <w:rPr>
          <w:b/>
          <w:color w:val="000000"/>
          <w:sz w:val="20"/>
          <w:szCs w:val="20"/>
        </w:rPr>
        <w:t xml:space="preserve">Autoria: </w:t>
      </w:r>
      <w:r>
        <w:rPr>
          <w:b/>
          <w:color w:val="000000"/>
          <w:sz w:val="20"/>
          <w:szCs w:val="20"/>
        </w:rPr>
        <w:t>Prefeito Municipal</w:t>
      </w:r>
    </w:p>
    <w:p w:rsidR="00207677" w:rsidRPr="0071762A" w:rsidRDefault="00207677" w:rsidP="0071762A"/>
    <w:sectPr w:rsidR="00207677" w:rsidRPr="0071762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C4" w:rsidRDefault="00F30EC4" w:rsidP="004F0784">
      <w:r>
        <w:separator/>
      </w:r>
    </w:p>
  </w:endnote>
  <w:endnote w:type="continuationSeparator" w:id="0">
    <w:p w:rsidR="00F30EC4" w:rsidRDefault="00F30EC4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3" w:rsidRDefault="00E568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3" w:rsidRDefault="00E568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3" w:rsidRDefault="00E568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C4" w:rsidRDefault="00F30EC4" w:rsidP="004F0784">
      <w:r>
        <w:separator/>
      </w:r>
    </w:p>
  </w:footnote>
  <w:footnote w:type="continuationSeparator" w:id="0">
    <w:p w:rsidR="00F30EC4" w:rsidRDefault="00F30EC4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3" w:rsidRDefault="00E568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bookmarkStart w:id="0" w:name="_GoBack"/>
    <w:r>
      <w:rPr>
        <w:noProof/>
        <w:lang w:eastAsia="pt-BR"/>
      </w:rPr>
      <w:drawing>
        <wp:inline distT="0" distB="0" distL="0" distR="0">
          <wp:extent cx="94488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5687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3" w:rsidRDefault="00E568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1468"/>
    <w:rsid w:val="001915A3"/>
    <w:rsid w:val="00193A1F"/>
    <w:rsid w:val="00207677"/>
    <w:rsid w:val="00217F62"/>
    <w:rsid w:val="004F0784"/>
    <w:rsid w:val="00594412"/>
    <w:rsid w:val="00697F7F"/>
    <w:rsid w:val="0071762A"/>
    <w:rsid w:val="00855FA6"/>
    <w:rsid w:val="00A906D8"/>
    <w:rsid w:val="00AB5A74"/>
    <w:rsid w:val="00E56873"/>
    <w:rsid w:val="00E605AC"/>
    <w:rsid w:val="00F071AE"/>
    <w:rsid w:val="00F30EC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687E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TextosemFormatao1">
    <w:name w:val="Texto sem Formatação1"/>
    <w:basedOn w:val="Normal"/>
    <w:rsid w:val="0071762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deLei">
    <w:name w:val="Texto de Lei"/>
    <w:basedOn w:val="Normal"/>
    <w:rsid w:val="0071762A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2019-05-27T18:16:00Z</dcterms:modified>
</cp:coreProperties>
</file>