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F8" w:rsidRDefault="00C664F8" w:rsidP="006B00EA">
      <w:pPr>
        <w:pStyle w:val="Ttulo1"/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4"/>
        </w:rPr>
      </w:pPr>
    </w:p>
    <w:p w:rsidR="00E45130" w:rsidRPr="00C664F8" w:rsidRDefault="00E45130" w:rsidP="006B00EA">
      <w:pPr>
        <w:pStyle w:val="Ttulo1"/>
        <w:spacing w:before="100" w:beforeAutospacing="1" w:after="100" w:afterAutospacing="1" w:line="360" w:lineRule="auto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  <w:r w:rsidRPr="00C664F8">
        <w:rPr>
          <w:rFonts w:ascii="Arial" w:hAnsi="Arial" w:cs="Arial"/>
          <w:sz w:val="28"/>
          <w:szCs w:val="24"/>
        </w:rPr>
        <w:t xml:space="preserve">PROJETO DE LEI </w:t>
      </w:r>
      <w:r w:rsidR="00C664F8" w:rsidRPr="00C664F8">
        <w:rPr>
          <w:rFonts w:ascii="Arial" w:hAnsi="Arial" w:cs="Arial"/>
          <w:sz w:val="28"/>
          <w:szCs w:val="24"/>
        </w:rPr>
        <w:t>N.º  2019</w:t>
      </w:r>
    </w:p>
    <w:p w:rsidR="00E45130" w:rsidRPr="00C664F8" w:rsidRDefault="00E45130" w:rsidP="00E45130">
      <w:pPr>
        <w:pStyle w:val="Ttulo"/>
        <w:spacing w:before="100" w:beforeAutospacing="1" w:after="100" w:afterAutospacing="1" w:line="360" w:lineRule="auto"/>
        <w:ind w:left="3969" w:hanging="3969"/>
        <w:jc w:val="both"/>
        <w:rPr>
          <w:rFonts w:ascii="Arial" w:hAnsi="Arial" w:cs="Arial"/>
          <w:color w:val="000000"/>
          <w:szCs w:val="24"/>
        </w:rPr>
      </w:pPr>
    </w:p>
    <w:p w:rsidR="00C664F8" w:rsidRPr="00C664F8" w:rsidRDefault="00C664F8" w:rsidP="00C664F8">
      <w:pPr>
        <w:shd w:val="clear" w:color="auto" w:fill="FFFFFF"/>
        <w:spacing w:after="288"/>
        <w:ind w:left="3540" w:firstLine="840"/>
        <w:jc w:val="both"/>
        <w:rPr>
          <w:rFonts w:ascii="Arial" w:hAnsi="Arial" w:cs="Arial"/>
          <w:b/>
          <w:sz w:val="28"/>
          <w:szCs w:val="24"/>
        </w:rPr>
      </w:pPr>
    </w:p>
    <w:p w:rsidR="00C664F8" w:rsidRPr="00C664F8" w:rsidRDefault="00C664F8" w:rsidP="00C664F8">
      <w:pPr>
        <w:shd w:val="clear" w:color="auto" w:fill="FFFFFF"/>
        <w:spacing w:after="288"/>
        <w:ind w:left="708" w:firstLine="708"/>
        <w:jc w:val="both"/>
        <w:rPr>
          <w:rFonts w:ascii="Arial" w:hAnsi="Arial" w:cs="Arial"/>
          <w:b/>
          <w:sz w:val="28"/>
          <w:szCs w:val="24"/>
        </w:rPr>
      </w:pPr>
      <w:r w:rsidRPr="00C664F8">
        <w:rPr>
          <w:rFonts w:ascii="Arial" w:hAnsi="Arial" w:cs="Arial"/>
          <w:b/>
          <w:sz w:val="28"/>
          <w:szCs w:val="24"/>
        </w:rPr>
        <w:t>DISPÕE SOBRE A DECLARAÇÃO DE NULIDADE DO INCISO VI, DO ARTIGO 97 DO ANEXO “A” DA RESOLUÇÃO 275 DE 29 DE JANEIRO DE 2019 DA AGENCIA REGULADORA ARES-PCJ QUE HOMOLOGA O REGULAMENTO DOS SERVIÇOS PÚBLICOS DE ABASTECIMENTO DE ÁGUA E DE ESGOTAMENTO SANITÁRIO DO SAAE DE MOGI MIRIM NO CASO QUE ESPECIFICA.</w:t>
      </w:r>
    </w:p>
    <w:p w:rsidR="00C664F8" w:rsidRPr="00C664F8" w:rsidRDefault="00C664F8" w:rsidP="00C664F8">
      <w:pPr>
        <w:shd w:val="clear" w:color="auto" w:fill="FFFFFF"/>
        <w:spacing w:after="288"/>
        <w:ind w:firstLine="708"/>
        <w:jc w:val="both"/>
        <w:rPr>
          <w:rFonts w:ascii="Arial" w:hAnsi="Arial" w:cs="Arial"/>
          <w:sz w:val="28"/>
          <w:szCs w:val="24"/>
        </w:rPr>
      </w:pPr>
      <w:r w:rsidRPr="00C664F8">
        <w:rPr>
          <w:rFonts w:ascii="Arial" w:hAnsi="Arial" w:cs="Arial"/>
          <w:sz w:val="28"/>
          <w:szCs w:val="24"/>
        </w:rPr>
        <w:t>Art. 1º Fica declarado nulo o inciso VI, do Artigo 97 do anexo A da resolução 275 de 29 de janeiro de 2019 da Agência Reguladora ARES-PCJ que homologa o Regulamento dos Serviços Públicos de Abastecimento de Água e de Esgotamento Sanitário do SAAE de Mogi Mirim nos casos de religação por inadimplemento, após quitação da dívida ou parcelamento da mesma, sendo proibido qualquer cobrança neste caso.</w:t>
      </w:r>
    </w:p>
    <w:p w:rsidR="00C664F8" w:rsidRPr="00C664F8" w:rsidRDefault="00C664F8" w:rsidP="00C664F8">
      <w:pPr>
        <w:shd w:val="clear" w:color="auto" w:fill="FFFFFF"/>
        <w:spacing w:after="288"/>
        <w:ind w:firstLine="708"/>
        <w:jc w:val="both"/>
        <w:rPr>
          <w:rFonts w:ascii="Arial" w:hAnsi="Arial" w:cs="Arial"/>
          <w:sz w:val="28"/>
          <w:szCs w:val="24"/>
        </w:rPr>
      </w:pPr>
      <w:r w:rsidRPr="00C664F8">
        <w:rPr>
          <w:rFonts w:ascii="Arial" w:hAnsi="Arial" w:cs="Arial"/>
          <w:sz w:val="28"/>
          <w:szCs w:val="24"/>
        </w:rPr>
        <w:t>§ 1º - O reestabelecimento do serviço de fornecimento água e esgotamento sanitário seguirá as normas estabelecidas no Anexo A da Resolução 275, permitido a cobrança nos demais casos que se enquadrem.</w:t>
      </w:r>
    </w:p>
    <w:p w:rsidR="00C664F8" w:rsidRDefault="00C664F8" w:rsidP="00C664F8">
      <w:pPr>
        <w:shd w:val="clear" w:color="auto" w:fill="FFFFFF"/>
        <w:spacing w:after="288"/>
        <w:jc w:val="both"/>
        <w:rPr>
          <w:rFonts w:ascii="Arial" w:hAnsi="Arial" w:cs="Arial"/>
          <w:sz w:val="28"/>
          <w:szCs w:val="28"/>
        </w:rPr>
      </w:pPr>
    </w:p>
    <w:p w:rsidR="00C664F8" w:rsidRPr="00C664F8" w:rsidRDefault="00C664F8" w:rsidP="00C664F8">
      <w:pPr>
        <w:jc w:val="center"/>
        <w:rPr>
          <w:rFonts w:ascii="Arial" w:hAnsi="Arial" w:cs="Arial"/>
          <w:sz w:val="22"/>
          <w:szCs w:val="22"/>
        </w:rPr>
      </w:pPr>
      <w:r w:rsidRPr="00C664F8">
        <w:rPr>
          <w:rFonts w:ascii="Arial" w:hAnsi="Arial" w:cs="Arial"/>
          <w:sz w:val="22"/>
          <w:szCs w:val="22"/>
        </w:rPr>
        <w:t xml:space="preserve">SALA DAS SESSÕES “VEREADOR SANTO RÓTOLLI”, aos </w:t>
      </w:r>
      <w:r w:rsidRPr="00C664F8">
        <w:rPr>
          <w:rFonts w:ascii="Arial" w:hAnsi="Arial" w:cs="Arial"/>
          <w:sz w:val="22"/>
          <w:szCs w:val="22"/>
        </w:rPr>
        <w:t>01</w:t>
      </w:r>
      <w:r w:rsidRPr="00C664F8">
        <w:rPr>
          <w:rFonts w:ascii="Arial" w:hAnsi="Arial" w:cs="Arial"/>
          <w:sz w:val="22"/>
          <w:szCs w:val="22"/>
        </w:rPr>
        <w:t xml:space="preserve"> de setembro de 2019.</w:t>
      </w:r>
    </w:p>
    <w:p w:rsidR="00405036" w:rsidRPr="00C664F8" w:rsidRDefault="00405036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C664F8" w:rsidRP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664F8" w:rsidRDefault="00C664F8" w:rsidP="00C664F8">
      <w:pPr>
        <w:pStyle w:val="Ttulo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C664F8">
        <w:rPr>
          <w:rFonts w:ascii="Arial" w:hAnsi="Arial" w:cs="Arial"/>
          <w:sz w:val="24"/>
          <w:szCs w:val="24"/>
        </w:rPr>
        <w:t>VEREADOR LUIS ROBERTO TAVARES</w:t>
      </w:r>
    </w:p>
    <w:p w:rsidR="00C664F8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C664F8" w:rsidRPr="00CF7180" w:rsidRDefault="00C664F8" w:rsidP="00C664F8">
      <w:pPr>
        <w:shd w:val="clear" w:color="auto" w:fill="FFFFFF"/>
        <w:spacing w:after="288"/>
        <w:ind w:firstLine="840"/>
        <w:jc w:val="right"/>
        <w:rPr>
          <w:rFonts w:ascii="Arial" w:hAnsi="Arial" w:cs="Arial"/>
          <w:b/>
          <w:sz w:val="28"/>
          <w:szCs w:val="28"/>
        </w:rPr>
      </w:pPr>
      <w:r w:rsidRPr="00CF7180">
        <w:rPr>
          <w:rFonts w:ascii="Arial" w:hAnsi="Arial" w:cs="Arial"/>
          <w:b/>
          <w:sz w:val="28"/>
          <w:szCs w:val="28"/>
        </w:rPr>
        <w:lastRenderedPageBreak/>
        <w:t>JUSTIFICATIVA</w:t>
      </w:r>
    </w:p>
    <w:p w:rsidR="00C664F8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 xml:space="preserve">O </w:t>
      </w:r>
      <w:r w:rsidRPr="005F50FD">
        <w:rPr>
          <w:rFonts w:ascii="Arial" w:hAnsi="Arial" w:cs="Arial"/>
          <w:sz w:val="28"/>
          <w:szCs w:val="28"/>
        </w:rPr>
        <w:t>presente Projeto de Lei</w:t>
      </w:r>
      <w:r w:rsidRPr="00D37EEF">
        <w:rPr>
          <w:rFonts w:ascii="Arial" w:hAnsi="Arial" w:cs="Arial"/>
          <w:sz w:val="28"/>
          <w:szCs w:val="28"/>
        </w:rPr>
        <w:t xml:space="preserve"> encontra farta fun</w:t>
      </w:r>
      <w:r w:rsidRPr="005F50FD">
        <w:rPr>
          <w:rFonts w:ascii="Arial" w:hAnsi="Arial" w:cs="Arial"/>
          <w:sz w:val="28"/>
          <w:szCs w:val="28"/>
        </w:rPr>
        <w:t xml:space="preserve">damentação e deve ser dirimido </w:t>
      </w:r>
      <w:r w:rsidRPr="00D37EEF">
        <w:rPr>
          <w:rFonts w:ascii="Arial" w:hAnsi="Arial" w:cs="Arial"/>
          <w:sz w:val="28"/>
          <w:szCs w:val="28"/>
        </w:rPr>
        <w:t>a luz do Código de Defesa do Consumidor.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 xml:space="preserve">Temos aqui um típico contrato de adesão, assim considerado pelo Código, tanto as estipulações unilaterais do poder público quanto as cláusulas redigidas prévia e unilateralmente por uma das partes. Desta feita, tem o </w:t>
      </w:r>
      <w:r w:rsidRPr="005F50FD">
        <w:rPr>
          <w:rFonts w:ascii="Arial" w:hAnsi="Arial" w:cs="Arial"/>
          <w:sz w:val="28"/>
          <w:szCs w:val="28"/>
        </w:rPr>
        <w:t>Legislativo Municipal a</w:t>
      </w:r>
      <w:r w:rsidRPr="00D37EEF">
        <w:rPr>
          <w:rFonts w:ascii="Arial" w:hAnsi="Arial" w:cs="Arial"/>
          <w:sz w:val="28"/>
          <w:szCs w:val="28"/>
        </w:rPr>
        <w:t xml:space="preserve"> legitimidade para agir, tanto para efetuar </w:t>
      </w:r>
      <w:r w:rsidRPr="005F50FD">
        <w:rPr>
          <w:rFonts w:ascii="Arial" w:hAnsi="Arial" w:cs="Arial"/>
          <w:sz w:val="28"/>
          <w:szCs w:val="28"/>
        </w:rPr>
        <w:t>fiscalizações quanto a eventual abuso n</w:t>
      </w:r>
      <w:r w:rsidRPr="00D37EEF">
        <w:rPr>
          <w:rFonts w:ascii="Arial" w:hAnsi="Arial" w:cs="Arial"/>
          <w:sz w:val="28"/>
          <w:szCs w:val="28"/>
        </w:rPr>
        <w:t xml:space="preserve">as cláusulas contratuais gerais do contrato de adesão, quanto para pleitear </w:t>
      </w:r>
      <w:r w:rsidRPr="005F50FD">
        <w:rPr>
          <w:rFonts w:ascii="Arial" w:hAnsi="Arial" w:cs="Arial"/>
          <w:sz w:val="28"/>
          <w:szCs w:val="28"/>
        </w:rPr>
        <w:t>através da elaboração de leis a</w:t>
      </w:r>
      <w:r w:rsidRPr="00D37EEF">
        <w:rPr>
          <w:rFonts w:ascii="Arial" w:hAnsi="Arial" w:cs="Arial"/>
          <w:sz w:val="28"/>
          <w:szCs w:val="28"/>
        </w:rPr>
        <w:t xml:space="preserve"> exclusão, modificação ou declaração de nulidade de cláusula que entenda ser abusiva. Despicienda a distinção entre contrato de adesão verbal ou </w:t>
      </w:r>
      <w:r w:rsidRPr="005F50FD">
        <w:rPr>
          <w:rFonts w:ascii="Arial" w:hAnsi="Arial" w:cs="Arial"/>
          <w:sz w:val="28"/>
          <w:szCs w:val="28"/>
        </w:rPr>
        <w:t>escrito. (</w:t>
      </w:r>
      <w:proofErr w:type="gramStart"/>
      <w:r w:rsidRPr="00D37EEF">
        <w:rPr>
          <w:rFonts w:ascii="Arial" w:hAnsi="Arial" w:cs="Arial"/>
          <w:sz w:val="28"/>
          <w:szCs w:val="28"/>
        </w:rPr>
        <w:t>art.</w:t>
      </w:r>
      <w:proofErr w:type="gramEnd"/>
      <w:r w:rsidRPr="00D37EEF">
        <w:rPr>
          <w:rFonts w:ascii="Arial" w:hAnsi="Arial" w:cs="Arial"/>
          <w:sz w:val="28"/>
          <w:szCs w:val="28"/>
        </w:rPr>
        <w:t xml:space="preserve"> 51, § 4º do CDC).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5F50FD">
        <w:rPr>
          <w:rFonts w:ascii="Arial" w:hAnsi="Arial" w:cs="Arial"/>
          <w:sz w:val="28"/>
          <w:szCs w:val="28"/>
        </w:rPr>
        <w:t>O Serviço autônomo de Água e Esgoto (SAAE)</w:t>
      </w:r>
      <w:r w:rsidRPr="00D37EEF">
        <w:rPr>
          <w:rFonts w:ascii="Arial" w:hAnsi="Arial" w:cs="Arial"/>
          <w:sz w:val="28"/>
          <w:szCs w:val="28"/>
        </w:rPr>
        <w:t xml:space="preserve"> presta serviço sob regime de remuneração, sendo certo que o inadimplemento pode determinar o corte do fornecimento do produto ou serviço.</w:t>
      </w:r>
    </w:p>
    <w:p w:rsidR="00C664F8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>O inadimplemento, por sua vez, acarreta ao consumidor o pagamento de juros de mora, multa</w:t>
      </w:r>
      <w:r w:rsidRPr="005F50FD">
        <w:rPr>
          <w:rFonts w:ascii="Arial" w:hAnsi="Arial" w:cs="Arial"/>
          <w:sz w:val="28"/>
          <w:szCs w:val="28"/>
        </w:rPr>
        <w:t>,</w:t>
      </w:r>
      <w:r w:rsidRPr="00D37EEF">
        <w:rPr>
          <w:rFonts w:ascii="Arial" w:hAnsi="Arial" w:cs="Arial"/>
          <w:sz w:val="28"/>
          <w:szCs w:val="28"/>
        </w:rPr>
        <w:t xml:space="preserve"> mais despesas de regularização dos serviços. A imposição destes acréscimos, mais a cobrança da </w:t>
      </w:r>
      <w:r w:rsidRPr="005F50FD">
        <w:rPr>
          <w:rFonts w:ascii="Arial" w:hAnsi="Arial" w:cs="Arial"/>
          <w:sz w:val="28"/>
          <w:szCs w:val="28"/>
        </w:rPr>
        <w:t>“</w:t>
      </w:r>
      <w:r w:rsidRPr="005F50FD">
        <w:rPr>
          <w:rFonts w:ascii="Arial" w:hAnsi="Arial" w:cs="Arial"/>
          <w:b/>
          <w:sz w:val="28"/>
          <w:szCs w:val="28"/>
        </w:rPr>
        <w:t>TAXA DE RELIGAÇÃO”</w:t>
      </w:r>
      <w:r w:rsidRPr="00D37EEF">
        <w:rPr>
          <w:rFonts w:ascii="Arial" w:hAnsi="Arial" w:cs="Arial"/>
          <w:sz w:val="28"/>
          <w:szCs w:val="28"/>
        </w:rPr>
        <w:t>, unila</w:t>
      </w:r>
      <w:r w:rsidRPr="005F50FD">
        <w:rPr>
          <w:rFonts w:ascii="Arial" w:hAnsi="Arial" w:cs="Arial"/>
          <w:sz w:val="28"/>
          <w:szCs w:val="28"/>
        </w:rPr>
        <w:t xml:space="preserve">teralmente, traz desequilíbrio </w:t>
      </w:r>
      <w:r w:rsidRPr="00D37EEF">
        <w:rPr>
          <w:rFonts w:ascii="Arial" w:hAnsi="Arial" w:cs="Arial"/>
          <w:sz w:val="28"/>
          <w:szCs w:val="28"/>
        </w:rPr>
        <w:t xml:space="preserve">a relação contratual mantida entre as partes. A somatória destes com a taxa de religação traduz-se em </w:t>
      </w:r>
      <w:r w:rsidRPr="005F50FD">
        <w:rPr>
          <w:rFonts w:ascii="Arial" w:hAnsi="Arial" w:cs="Arial"/>
          <w:sz w:val="28"/>
          <w:szCs w:val="28"/>
        </w:rPr>
        <w:t>CLÁUSULA PENAL</w:t>
      </w:r>
      <w:r>
        <w:rPr>
          <w:rFonts w:ascii="Arial" w:hAnsi="Arial" w:cs="Arial"/>
          <w:sz w:val="28"/>
          <w:szCs w:val="28"/>
        </w:rPr>
        <w:t>, punindo duplamente o consumidor.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 xml:space="preserve">Em havendo o pagamento após o corte no fornecimento dos serviços é obrigação </w:t>
      </w:r>
      <w:r w:rsidRPr="005F50FD">
        <w:rPr>
          <w:rFonts w:ascii="Arial" w:hAnsi="Arial" w:cs="Arial"/>
          <w:sz w:val="28"/>
          <w:szCs w:val="28"/>
        </w:rPr>
        <w:t>da autarquia</w:t>
      </w:r>
      <w:r w:rsidRPr="00D37EEF">
        <w:rPr>
          <w:rFonts w:ascii="Arial" w:hAnsi="Arial" w:cs="Arial"/>
          <w:sz w:val="28"/>
          <w:szCs w:val="28"/>
        </w:rPr>
        <w:t xml:space="preserve"> o pronto restabelecimento do serviço, sem que para isso, se veja o consumidor obrigado a pagar qualquer taxa extra, além daquelas já mencionadas.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>Or</w:t>
      </w:r>
      <w:r w:rsidRPr="005F50FD">
        <w:rPr>
          <w:rFonts w:ascii="Arial" w:hAnsi="Arial" w:cs="Arial"/>
          <w:sz w:val="28"/>
          <w:szCs w:val="28"/>
        </w:rPr>
        <w:t xml:space="preserve">a, ao religar o fornecimento, o SAAE </w:t>
      </w:r>
      <w:r w:rsidRPr="00D37EEF">
        <w:rPr>
          <w:rFonts w:ascii="Arial" w:hAnsi="Arial" w:cs="Arial"/>
          <w:sz w:val="28"/>
          <w:szCs w:val="28"/>
        </w:rPr>
        <w:t xml:space="preserve">não está fazendo favor nenhum ao consumidor. Pelo contrário! Tem o dever, repito, </w:t>
      </w:r>
      <w:r w:rsidRPr="005F50FD">
        <w:rPr>
          <w:rFonts w:ascii="Arial" w:hAnsi="Arial" w:cs="Arial"/>
          <w:sz w:val="28"/>
          <w:szCs w:val="28"/>
        </w:rPr>
        <w:t>de uma</w:t>
      </w:r>
      <w:r w:rsidRPr="00D37EEF">
        <w:rPr>
          <w:rFonts w:ascii="Arial" w:hAnsi="Arial" w:cs="Arial"/>
          <w:sz w:val="28"/>
          <w:szCs w:val="28"/>
        </w:rPr>
        <w:t xml:space="preserve"> vez pago o consumo, restabelecer, de imediato, o fornecimento.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5F50FD">
        <w:rPr>
          <w:rFonts w:ascii="Arial" w:hAnsi="Arial" w:cs="Arial"/>
          <w:sz w:val="28"/>
          <w:szCs w:val="28"/>
        </w:rPr>
        <w:t>A</w:t>
      </w:r>
      <w:r w:rsidRPr="00D37EEF">
        <w:rPr>
          <w:rFonts w:ascii="Arial" w:hAnsi="Arial" w:cs="Arial"/>
          <w:sz w:val="28"/>
          <w:szCs w:val="28"/>
        </w:rPr>
        <w:t xml:space="preserve"> religação, é ato que beneficia a própria empresa. Estando restabelecido o fornecimento, o consumidor voltará a consumir </w:t>
      </w:r>
      <w:r w:rsidRPr="005F50FD">
        <w:rPr>
          <w:rFonts w:ascii="Arial" w:hAnsi="Arial" w:cs="Arial"/>
          <w:sz w:val="28"/>
          <w:szCs w:val="28"/>
        </w:rPr>
        <w:t>água</w:t>
      </w:r>
      <w:r w:rsidRPr="00D37EEF">
        <w:rPr>
          <w:rFonts w:ascii="Arial" w:hAnsi="Arial" w:cs="Arial"/>
          <w:sz w:val="28"/>
          <w:szCs w:val="28"/>
        </w:rPr>
        <w:t xml:space="preserve">. Produto caríssimo, aliás. Então, nesta lógica, por que deve o consumidor arcar com tão pesado </w:t>
      </w:r>
      <w:r w:rsidRPr="005F50FD">
        <w:rPr>
          <w:rFonts w:ascii="Arial" w:hAnsi="Arial" w:cs="Arial"/>
          <w:sz w:val="28"/>
          <w:szCs w:val="28"/>
        </w:rPr>
        <w:t>ônus?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lastRenderedPageBreak/>
        <w:t>Ônus, aliás que caracteriza " bis in idem". O corte do fornecimento já penaliza o cidadão</w:t>
      </w:r>
      <w:r w:rsidRPr="005F50FD">
        <w:rPr>
          <w:rFonts w:ascii="Arial" w:hAnsi="Arial" w:cs="Arial"/>
          <w:sz w:val="28"/>
          <w:szCs w:val="28"/>
        </w:rPr>
        <w:t xml:space="preserve"> com</w:t>
      </w:r>
      <w:r w:rsidRPr="00D37EEF">
        <w:rPr>
          <w:rFonts w:ascii="Arial" w:hAnsi="Arial" w:cs="Arial"/>
          <w:sz w:val="28"/>
          <w:szCs w:val="28"/>
        </w:rPr>
        <w:t xml:space="preserve"> multa por mora e juros. Sentindo no bolso o </w:t>
      </w:r>
      <w:proofErr w:type="gramStart"/>
      <w:r w:rsidRPr="00D37EEF">
        <w:rPr>
          <w:rFonts w:ascii="Arial" w:hAnsi="Arial" w:cs="Arial"/>
          <w:sz w:val="28"/>
          <w:szCs w:val="28"/>
        </w:rPr>
        <w:t>pesado</w:t>
      </w:r>
      <w:proofErr w:type="gramEnd"/>
      <w:r w:rsidRPr="00D37EEF">
        <w:rPr>
          <w:rFonts w:ascii="Arial" w:hAnsi="Arial" w:cs="Arial"/>
          <w:sz w:val="28"/>
          <w:szCs w:val="28"/>
        </w:rPr>
        <w:t xml:space="preserve"> valor do produto vendido pela </w:t>
      </w:r>
      <w:r w:rsidRPr="005F50FD">
        <w:rPr>
          <w:rFonts w:ascii="Arial" w:hAnsi="Arial" w:cs="Arial"/>
          <w:sz w:val="28"/>
          <w:szCs w:val="28"/>
        </w:rPr>
        <w:t>autarquia</w:t>
      </w:r>
      <w:r w:rsidRPr="00D37EEF">
        <w:rPr>
          <w:rFonts w:ascii="Arial" w:hAnsi="Arial" w:cs="Arial"/>
          <w:sz w:val="28"/>
          <w:szCs w:val="28"/>
        </w:rPr>
        <w:t>, só atrasa ou se sujeita ao corte de fornecimento quem realmente não dispõe de meios para pagamento na data aprazada. Ninguém passa por tal humilhação (corte) quando dispõe de dinheiro.</w:t>
      </w:r>
    </w:p>
    <w:p w:rsidR="00C664F8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 xml:space="preserve">Há que se dar um basta a tanto castigo, até parece que a </w:t>
      </w:r>
      <w:r w:rsidRPr="005F50FD">
        <w:rPr>
          <w:rFonts w:ascii="Arial" w:hAnsi="Arial" w:cs="Arial"/>
          <w:sz w:val="28"/>
          <w:szCs w:val="28"/>
        </w:rPr>
        <w:t>água</w:t>
      </w:r>
      <w:r w:rsidRPr="00D37EEF">
        <w:rPr>
          <w:rFonts w:ascii="Arial" w:hAnsi="Arial" w:cs="Arial"/>
          <w:sz w:val="28"/>
          <w:szCs w:val="28"/>
        </w:rPr>
        <w:t xml:space="preserve"> é gratuita, tamanha a carga que se impõe a quem já é penalizado primeiramente com o corte no fornecimento.</w:t>
      </w:r>
    </w:p>
    <w:p w:rsidR="00C664F8" w:rsidRPr="00D37EEF" w:rsidRDefault="00C664F8" w:rsidP="00C664F8">
      <w:pPr>
        <w:shd w:val="clear" w:color="auto" w:fill="FFFFFF"/>
        <w:spacing w:after="288"/>
        <w:ind w:firstLine="840"/>
        <w:jc w:val="both"/>
        <w:rPr>
          <w:rFonts w:ascii="Arial" w:hAnsi="Arial" w:cs="Arial"/>
          <w:b/>
          <w:bCs/>
          <w:caps/>
          <w:sz w:val="28"/>
          <w:szCs w:val="28"/>
        </w:rPr>
      </w:pPr>
      <w:r w:rsidRPr="00D37EEF">
        <w:rPr>
          <w:rFonts w:ascii="Arial" w:hAnsi="Arial" w:cs="Arial"/>
          <w:sz w:val="28"/>
          <w:szCs w:val="28"/>
        </w:rPr>
        <w:t>Em face do exposto, reconhecendo tal taxa como cláu</w:t>
      </w:r>
      <w:r>
        <w:rPr>
          <w:rFonts w:ascii="Arial" w:hAnsi="Arial" w:cs="Arial"/>
          <w:sz w:val="28"/>
          <w:szCs w:val="28"/>
        </w:rPr>
        <w:t xml:space="preserve">sula penal, </w:t>
      </w:r>
      <w:r w:rsidRPr="00D37EEF">
        <w:rPr>
          <w:rFonts w:ascii="Arial" w:hAnsi="Arial" w:cs="Arial"/>
          <w:sz w:val="28"/>
          <w:szCs w:val="28"/>
        </w:rPr>
        <w:t xml:space="preserve">disfarçada e travestida de tarifa, direcionada a reprimir a inadimplência que já é reprimida com o corte no fornecimento, </w:t>
      </w:r>
      <w:r w:rsidRPr="005F50FD">
        <w:rPr>
          <w:rFonts w:ascii="Arial" w:hAnsi="Arial" w:cs="Arial"/>
          <w:sz w:val="28"/>
          <w:szCs w:val="28"/>
        </w:rPr>
        <w:t xml:space="preserve">que se faz necessário este dispositivo de lei, </w:t>
      </w:r>
      <w:r w:rsidRPr="005F50FD">
        <w:rPr>
          <w:rFonts w:ascii="Arial" w:hAnsi="Arial" w:cs="Arial"/>
          <w:b/>
          <w:bCs/>
          <w:sz w:val="28"/>
          <w:szCs w:val="28"/>
        </w:rPr>
        <w:t>declarando a ilegalidade e o abuso da cobrança da taxa de religação</w:t>
      </w:r>
      <w:r>
        <w:rPr>
          <w:rFonts w:ascii="Arial" w:hAnsi="Arial" w:cs="Arial"/>
          <w:b/>
          <w:bCs/>
          <w:sz w:val="28"/>
          <w:szCs w:val="28"/>
        </w:rPr>
        <w:t xml:space="preserve"> em casos de inadimplência</w:t>
      </w:r>
      <w:r w:rsidRPr="005F50FD">
        <w:rPr>
          <w:rFonts w:ascii="Arial" w:hAnsi="Arial" w:cs="Arial"/>
          <w:b/>
          <w:bCs/>
          <w:sz w:val="28"/>
          <w:szCs w:val="28"/>
        </w:rPr>
        <w:t>.</w:t>
      </w:r>
    </w:p>
    <w:p w:rsidR="00C664F8" w:rsidRPr="005F50FD" w:rsidRDefault="00C664F8" w:rsidP="00C664F8">
      <w:pPr>
        <w:jc w:val="both"/>
        <w:rPr>
          <w:rFonts w:ascii="Arial" w:hAnsi="Arial" w:cs="Arial"/>
          <w:sz w:val="28"/>
          <w:szCs w:val="28"/>
        </w:rPr>
      </w:pPr>
      <w:r w:rsidRPr="005F50FD">
        <w:rPr>
          <w:rFonts w:ascii="Arial" w:hAnsi="Arial" w:cs="Arial"/>
          <w:sz w:val="28"/>
          <w:szCs w:val="28"/>
        </w:rPr>
        <w:t xml:space="preserve"> </w:t>
      </w:r>
    </w:p>
    <w:p w:rsidR="00C664F8" w:rsidRPr="00E45130" w:rsidRDefault="00C664F8" w:rsidP="00C664F8">
      <w:pPr>
        <w:pStyle w:val="Ttulo"/>
        <w:spacing w:before="100" w:beforeAutospacing="1" w:after="100" w:afterAutospacing="1"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sectPr w:rsidR="00C664F8" w:rsidRPr="00E4513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B6" w:rsidRDefault="000625B6">
      <w:r>
        <w:separator/>
      </w:r>
    </w:p>
  </w:endnote>
  <w:endnote w:type="continuationSeparator" w:id="0">
    <w:p w:rsidR="000625B6" w:rsidRDefault="0006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B6" w:rsidRDefault="000625B6">
      <w:r>
        <w:separator/>
      </w:r>
    </w:p>
  </w:footnote>
  <w:footnote w:type="continuationSeparator" w:id="0">
    <w:p w:rsidR="000625B6" w:rsidRDefault="0006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F29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469CA"/>
    <w:rsid w:val="0004779C"/>
    <w:rsid w:val="000625B6"/>
    <w:rsid w:val="00063439"/>
    <w:rsid w:val="00073D02"/>
    <w:rsid w:val="0007417B"/>
    <w:rsid w:val="00083491"/>
    <w:rsid w:val="00090627"/>
    <w:rsid w:val="0009166E"/>
    <w:rsid w:val="000A06E7"/>
    <w:rsid w:val="000B543E"/>
    <w:rsid w:val="000B622A"/>
    <w:rsid w:val="000C2852"/>
    <w:rsid w:val="000D4315"/>
    <w:rsid w:val="000E353A"/>
    <w:rsid w:val="001013D9"/>
    <w:rsid w:val="001342B4"/>
    <w:rsid w:val="00134B69"/>
    <w:rsid w:val="0014752E"/>
    <w:rsid w:val="001531A0"/>
    <w:rsid w:val="00164D26"/>
    <w:rsid w:val="001754A3"/>
    <w:rsid w:val="001A1073"/>
    <w:rsid w:val="001B270B"/>
    <w:rsid w:val="001B5679"/>
    <w:rsid w:val="001B77A5"/>
    <w:rsid w:val="001C35BE"/>
    <w:rsid w:val="001F46DC"/>
    <w:rsid w:val="001F5892"/>
    <w:rsid w:val="0021063E"/>
    <w:rsid w:val="00217E55"/>
    <w:rsid w:val="00220B9C"/>
    <w:rsid w:val="00224773"/>
    <w:rsid w:val="00252811"/>
    <w:rsid w:val="00267A25"/>
    <w:rsid w:val="0027353F"/>
    <w:rsid w:val="00273B20"/>
    <w:rsid w:val="00275BC8"/>
    <w:rsid w:val="00281040"/>
    <w:rsid w:val="00295C30"/>
    <w:rsid w:val="002B2ECC"/>
    <w:rsid w:val="002C0728"/>
    <w:rsid w:val="002D4956"/>
    <w:rsid w:val="002E6677"/>
    <w:rsid w:val="003023A5"/>
    <w:rsid w:val="0031481C"/>
    <w:rsid w:val="00320466"/>
    <w:rsid w:val="00323E45"/>
    <w:rsid w:val="00332C0D"/>
    <w:rsid w:val="003466BE"/>
    <w:rsid w:val="00347D9F"/>
    <w:rsid w:val="00355F47"/>
    <w:rsid w:val="003566A4"/>
    <w:rsid w:val="00357221"/>
    <w:rsid w:val="0035754C"/>
    <w:rsid w:val="00361929"/>
    <w:rsid w:val="0037426E"/>
    <w:rsid w:val="003B06E9"/>
    <w:rsid w:val="003B36C9"/>
    <w:rsid w:val="003C51B6"/>
    <w:rsid w:val="003D166E"/>
    <w:rsid w:val="003D50A3"/>
    <w:rsid w:val="003D6183"/>
    <w:rsid w:val="003F11DD"/>
    <w:rsid w:val="00405036"/>
    <w:rsid w:val="00443A4B"/>
    <w:rsid w:val="00457577"/>
    <w:rsid w:val="00474F23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329B7"/>
    <w:rsid w:val="00542EB7"/>
    <w:rsid w:val="005735A2"/>
    <w:rsid w:val="00583918"/>
    <w:rsid w:val="0058487D"/>
    <w:rsid w:val="00591ADA"/>
    <w:rsid w:val="005B06AC"/>
    <w:rsid w:val="005B12F9"/>
    <w:rsid w:val="005D1F15"/>
    <w:rsid w:val="005F279B"/>
    <w:rsid w:val="005F410C"/>
    <w:rsid w:val="00603639"/>
    <w:rsid w:val="006066AF"/>
    <w:rsid w:val="00627364"/>
    <w:rsid w:val="00640234"/>
    <w:rsid w:val="00661478"/>
    <w:rsid w:val="00673085"/>
    <w:rsid w:val="00682B91"/>
    <w:rsid w:val="0068345A"/>
    <w:rsid w:val="00684DF6"/>
    <w:rsid w:val="00685166"/>
    <w:rsid w:val="00690976"/>
    <w:rsid w:val="006A0861"/>
    <w:rsid w:val="006B00EA"/>
    <w:rsid w:val="006B7FCC"/>
    <w:rsid w:val="006E0F38"/>
    <w:rsid w:val="0070628D"/>
    <w:rsid w:val="00711EC5"/>
    <w:rsid w:val="0074410B"/>
    <w:rsid w:val="00765F16"/>
    <w:rsid w:val="00784EDD"/>
    <w:rsid w:val="0079312A"/>
    <w:rsid w:val="00796F06"/>
    <w:rsid w:val="00797F4D"/>
    <w:rsid w:val="007B191C"/>
    <w:rsid w:val="007B6361"/>
    <w:rsid w:val="007B7A9D"/>
    <w:rsid w:val="007C207E"/>
    <w:rsid w:val="007F4EC2"/>
    <w:rsid w:val="007F7681"/>
    <w:rsid w:val="00802CDC"/>
    <w:rsid w:val="008247A6"/>
    <w:rsid w:val="0083395B"/>
    <w:rsid w:val="00840BE4"/>
    <w:rsid w:val="00851F06"/>
    <w:rsid w:val="00884C5C"/>
    <w:rsid w:val="0089086A"/>
    <w:rsid w:val="00895AD9"/>
    <w:rsid w:val="008A7C6E"/>
    <w:rsid w:val="008C744D"/>
    <w:rsid w:val="008D5A44"/>
    <w:rsid w:val="009029A6"/>
    <w:rsid w:val="009061F2"/>
    <w:rsid w:val="0091454D"/>
    <w:rsid w:val="00920080"/>
    <w:rsid w:val="009212F1"/>
    <w:rsid w:val="009368B3"/>
    <w:rsid w:val="0093726D"/>
    <w:rsid w:val="00946F45"/>
    <w:rsid w:val="00953819"/>
    <w:rsid w:val="00953CDE"/>
    <w:rsid w:val="00957230"/>
    <w:rsid w:val="009621F8"/>
    <w:rsid w:val="00966075"/>
    <w:rsid w:val="00983AF1"/>
    <w:rsid w:val="0098616C"/>
    <w:rsid w:val="009A0936"/>
    <w:rsid w:val="009A3C33"/>
    <w:rsid w:val="009B1583"/>
    <w:rsid w:val="009C3C78"/>
    <w:rsid w:val="009C4104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255B4"/>
    <w:rsid w:val="00A32215"/>
    <w:rsid w:val="00A3523B"/>
    <w:rsid w:val="00A44913"/>
    <w:rsid w:val="00A63D19"/>
    <w:rsid w:val="00A70E17"/>
    <w:rsid w:val="00A738A6"/>
    <w:rsid w:val="00A82AC4"/>
    <w:rsid w:val="00A84139"/>
    <w:rsid w:val="00A85656"/>
    <w:rsid w:val="00A8620A"/>
    <w:rsid w:val="00AB4DC9"/>
    <w:rsid w:val="00AC3136"/>
    <w:rsid w:val="00AC386C"/>
    <w:rsid w:val="00AC57DE"/>
    <w:rsid w:val="00AF0FBF"/>
    <w:rsid w:val="00AF2929"/>
    <w:rsid w:val="00AF4416"/>
    <w:rsid w:val="00B04C81"/>
    <w:rsid w:val="00B1544F"/>
    <w:rsid w:val="00B20E9D"/>
    <w:rsid w:val="00B2776D"/>
    <w:rsid w:val="00B410FE"/>
    <w:rsid w:val="00B50522"/>
    <w:rsid w:val="00B55DE7"/>
    <w:rsid w:val="00B74EFC"/>
    <w:rsid w:val="00B7698C"/>
    <w:rsid w:val="00B76B70"/>
    <w:rsid w:val="00B96ADF"/>
    <w:rsid w:val="00BB1389"/>
    <w:rsid w:val="00BB751E"/>
    <w:rsid w:val="00BB7F2F"/>
    <w:rsid w:val="00BC43F9"/>
    <w:rsid w:val="00BC769B"/>
    <w:rsid w:val="00BD1E77"/>
    <w:rsid w:val="00BD6CDA"/>
    <w:rsid w:val="00BE728E"/>
    <w:rsid w:val="00BF4EDE"/>
    <w:rsid w:val="00C007F6"/>
    <w:rsid w:val="00C04B6D"/>
    <w:rsid w:val="00C10E2C"/>
    <w:rsid w:val="00C1252A"/>
    <w:rsid w:val="00C13419"/>
    <w:rsid w:val="00C2050A"/>
    <w:rsid w:val="00C35D34"/>
    <w:rsid w:val="00C661B8"/>
    <w:rsid w:val="00C664F8"/>
    <w:rsid w:val="00C70D62"/>
    <w:rsid w:val="00C85103"/>
    <w:rsid w:val="00C90D56"/>
    <w:rsid w:val="00C90F77"/>
    <w:rsid w:val="00CA6EE8"/>
    <w:rsid w:val="00CA743F"/>
    <w:rsid w:val="00CC0EB2"/>
    <w:rsid w:val="00CF0916"/>
    <w:rsid w:val="00CF2C28"/>
    <w:rsid w:val="00D31B2B"/>
    <w:rsid w:val="00D364EC"/>
    <w:rsid w:val="00D410B5"/>
    <w:rsid w:val="00D42A11"/>
    <w:rsid w:val="00D67F25"/>
    <w:rsid w:val="00D73766"/>
    <w:rsid w:val="00D96E3E"/>
    <w:rsid w:val="00DA0E0E"/>
    <w:rsid w:val="00DA1ED9"/>
    <w:rsid w:val="00DC1988"/>
    <w:rsid w:val="00DE325E"/>
    <w:rsid w:val="00DE7C51"/>
    <w:rsid w:val="00DF19F8"/>
    <w:rsid w:val="00DF5298"/>
    <w:rsid w:val="00E01DED"/>
    <w:rsid w:val="00E04A19"/>
    <w:rsid w:val="00E0698C"/>
    <w:rsid w:val="00E16E54"/>
    <w:rsid w:val="00E30764"/>
    <w:rsid w:val="00E327B3"/>
    <w:rsid w:val="00E45130"/>
    <w:rsid w:val="00E460AA"/>
    <w:rsid w:val="00E76500"/>
    <w:rsid w:val="00E80EFF"/>
    <w:rsid w:val="00EA4371"/>
    <w:rsid w:val="00EB5402"/>
    <w:rsid w:val="00EC6E87"/>
    <w:rsid w:val="00ED3EEE"/>
    <w:rsid w:val="00ED4384"/>
    <w:rsid w:val="00ED682A"/>
    <w:rsid w:val="00EE0E43"/>
    <w:rsid w:val="00EE4A6E"/>
    <w:rsid w:val="00F00CAD"/>
    <w:rsid w:val="00F173EE"/>
    <w:rsid w:val="00F43A62"/>
    <w:rsid w:val="00F60D34"/>
    <w:rsid w:val="00F61672"/>
    <w:rsid w:val="00F62A4F"/>
    <w:rsid w:val="00F9570F"/>
    <w:rsid w:val="00FC7F63"/>
    <w:rsid w:val="00FD0EC7"/>
    <w:rsid w:val="00FD36F3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F657E-CB43-4838-88E6-6FD73284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paragraph" w:styleId="Ttulo1">
    <w:name w:val="heading 1"/>
    <w:basedOn w:val="Normal"/>
    <w:next w:val="Normal"/>
    <w:link w:val="Ttulo1Char"/>
    <w:qFormat/>
    <w:rsid w:val="00E45130"/>
    <w:pPr>
      <w:keepNext/>
      <w:jc w:val="both"/>
      <w:outlineLvl w:val="0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rsid w:val="00E45130"/>
    <w:pPr>
      <w:keepNext/>
      <w:spacing w:line="360" w:lineRule="auto"/>
      <w:jc w:val="center"/>
      <w:outlineLvl w:val="2"/>
    </w:pPr>
    <w:rPr>
      <w:rFonts w:ascii="Bookman Old Style" w:hAnsi="Bookman Old Style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E45130"/>
    <w:rPr>
      <w:b/>
      <w:sz w:val="32"/>
    </w:rPr>
  </w:style>
  <w:style w:type="character" w:customStyle="1" w:styleId="Ttulo3Char">
    <w:name w:val="Título 3 Char"/>
    <w:basedOn w:val="Fontepargpadro"/>
    <w:link w:val="Ttulo3"/>
    <w:rsid w:val="00E45130"/>
    <w:rPr>
      <w:rFonts w:ascii="Bookman Old Style" w:hAnsi="Bookman Old Style"/>
      <w:b/>
      <w:sz w:val="32"/>
    </w:rPr>
  </w:style>
  <w:style w:type="paragraph" w:styleId="Ttulo">
    <w:name w:val="Title"/>
    <w:basedOn w:val="Normal"/>
    <w:link w:val="TtuloChar"/>
    <w:qFormat/>
    <w:rsid w:val="00E45130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E45130"/>
    <w:rPr>
      <w:rFonts w:ascii="Bookman Old Style" w:hAnsi="Bookman Old Style"/>
      <w:b/>
      <w:sz w:val="28"/>
    </w:rPr>
  </w:style>
  <w:style w:type="paragraph" w:styleId="Corpodetexto">
    <w:name w:val="Body Text"/>
    <w:basedOn w:val="Normal"/>
    <w:link w:val="CorpodetextoChar"/>
    <w:rsid w:val="00E45130"/>
    <w:pPr>
      <w:spacing w:line="360" w:lineRule="auto"/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E45130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E4513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E45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5B06-47E9-4536-87C4-55696946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2019-04-03T13:24:00Z</cp:lastPrinted>
  <dcterms:created xsi:type="dcterms:W3CDTF">2019-03-29T13:44:00Z</dcterms:created>
  <dcterms:modified xsi:type="dcterms:W3CDTF">2019-08-01T18:07:00Z</dcterms:modified>
</cp:coreProperties>
</file>