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68" w:rsidRDefault="00A97168">
      <w:pPr>
        <w:jc w:val="both"/>
        <w:rPr>
          <w:b/>
          <w:sz w:val="28"/>
        </w:rPr>
      </w:pPr>
    </w:p>
    <w:p w:rsidR="00A97168" w:rsidRDefault="00A97168">
      <w:pPr>
        <w:rPr>
          <w:b/>
          <w:sz w:val="28"/>
        </w:rPr>
      </w:pPr>
    </w:p>
    <w:p w:rsidR="00A97168" w:rsidRDefault="00A97168">
      <w:pPr>
        <w:rPr>
          <w:b/>
          <w:sz w:val="28"/>
        </w:rPr>
      </w:pPr>
    </w:p>
    <w:p w:rsidR="00A97168" w:rsidRDefault="00A97168"/>
    <w:p w:rsidR="00C503EF" w:rsidRPr="00C503EF" w:rsidRDefault="00FB308D" w:rsidP="00C503E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C503EF" w:rsidRPr="00C503EF">
        <w:rPr>
          <w:rFonts w:ascii="Bookman Old Style" w:hAnsi="Bookman Old Style"/>
          <w:b/>
          <w:sz w:val="24"/>
        </w:rPr>
        <w:t>MOÇÃO DE APOIO ao cumprimento das normas constitucionais acerca do concurso público para Assistente Social Judiciário realizado em 2.017 pelo Tribunal de Justiça de São Paulo (TJ/SP) e, ainda, de APOIO a aprovação da Emenda nº. 92 ao Projeto de Lei nº. 1112/2019 da Assembleia Legislativa do Estado de São Paulo (ALESP).</w:t>
      </w:r>
    </w:p>
    <w:p w:rsidR="00A97168" w:rsidRPr="008305FC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/>
          <w:b/>
          <w:sz w:val="24"/>
        </w:rPr>
      </w:pP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  <w:bookmarkStart w:id="0" w:name="_GoBack"/>
      <w:bookmarkEnd w:id="0"/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97168" w:rsidRDefault="00FB308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97168" w:rsidRDefault="00A97168">
      <w:pPr>
        <w:rPr>
          <w:b/>
          <w:sz w:val="24"/>
        </w:rPr>
      </w:pPr>
    </w:p>
    <w:p w:rsidR="00A97168" w:rsidRDefault="00FB308D">
      <w:pPr>
        <w:jc w:val="center"/>
        <w:rPr>
          <w:b/>
          <w:sz w:val="24"/>
        </w:rPr>
      </w:pPr>
      <w:r>
        <w:rPr>
          <w:b/>
          <w:sz w:val="24"/>
        </w:rPr>
        <w:t xml:space="preserve">    MOÇÃO </w:t>
      </w:r>
      <w:r w:rsidR="00C503EF">
        <w:rPr>
          <w:b/>
          <w:sz w:val="24"/>
        </w:rPr>
        <w:t>Nº DE</w:t>
      </w:r>
      <w:r>
        <w:rPr>
          <w:b/>
          <w:sz w:val="24"/>
        </w:rPr>
        <w:t xml:space="preserve">  2019</w:t>
      </w:r>
    </w:p>
    <w:p w:rsidR="00A97168" w:rsidRDefault="00A97168">
      <w:pPr>
        <w:jc w:val="center"/>
        <w:rPr>
          <w:b/>
          <w:sz w:val="24"/>
        </w:rPr>
      </w:pPr>
    </w:p>
    <w:p w:rsidR="00A97168" w:rsidRDefault="00A97168">
      <w:pPr>
        <w:jc w:val="center"/>
        <w:rPr>
          <w:sz w:val="24"/>
        </w:rPr>
      </w:pPr>
    </w:p>
    <w:p w:rsidR="00A97168" w:rsidRDefault="00FB308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A97168" w:rsidRDefault="00FB308D">
      <w:pPr>
        <w:rPr>
          <w:sz w:val="24"/>
          <w:szCs w:val="24"/>
        </w:rPr>
      </w:pPr>
      <w:r>
        <w:rPr>
          <w:b/>
          <w:sz w:val="24"/>
          <w:szCs w:val="24"/>
        </w:rPr>
        <w:t>SENHORES VEREADORES E VEREADORAS</w:t>
      </w:r>
      <w:r>
        <w:rPr>
          <w:sz w:val="24"/>
          <w:szCs w:val="24"/>
        </w:rPr>
        <w:t xml:space="preserve"> </w:t>
      </w:r>
    </w:p>
    <w:p w:rsidR="00A97168" w:rsidRDefault="00A97168">
      <w:pPr>
        <w:rPr>
          <w:sz w:val="24"/>
          <w:szCs w:val="24"/>
        </w:rPr>
      </w:pPr>
    </w:p>
    <w:p w:rsidR="00A97168" w:rsidRDefault="00A97168">
      <w:pPr>
        <w:rPr>
          <w:sz w:val="24"/>
          <w:szCs w:val="24"/>
        </w:rPr>
      </w:pPr>
    </w:p>
    <w:p w:rsidR="00A97168" w:rsidRDefault="00FB308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ASSUNTO: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sz w:val="24"/>
          <w:szCs w:val="24"/>
        </w:rPr>
        <w:t>MOÇÃO DE APOIO</w:t>
      </w:r>
    </w:p>
    <w:p w:rsidR="00B01628" w:rsidRDefault="00B01628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C503EF" w:rsidRPr="00C503EF" w:rsidRDefault="00FB308D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hAnsi="Bookman Old Style" w:cs="Calibri"/>
          <w:sz w:val="24"/>
          <w:szCs w:val="24"/>
        </w:rPr>
        <w:t>Apresento à mesa, ouvido o soberano plenário e dispensadas todas as forma</w:t>
      </w:r>
      <w:r w:rsidR="00C503EF" w:rsidRPr="00C503EF">
        <w:rPr>
          <w:rFonts w:ascii="Bookman Old Style" w:hAnsi="Bookman Old Style" w:cs="Calibri"/>
          <w:sz w:val="24"/>
          <w:szCs w:val="24"/>
        </w:rPr>
        <w:t>lidades regimentais, a presente</w:t>
      </w:r>
      <w:r w:rsidR="00C503EF" w:rsidRPr="00C503EF">
        <w:rPr>
          <w:rFonts w:ascii="Bookman Old Style" w:hAnsi="Bookman Old Style" w:cs="Arial"/>
          <w:bCs/>
          <w:color w:val="000000"/>
          <w:sz w:val="24"/>
          <w:szCs w:val="24"/>
        </w:rPr>
        <w:t xml:space="preserve"> </w:t>
      </w:r>
      <w:r w:rsidR="00C503EF"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MOÇÃO DE APOIO</w:t>
      </w:r>
      <w:r w:rsidR="00C503EF"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ao cumprimento das normas constitucionais acerca do concurso público para Assistente Social Judiciário realizado em 2.017 pelo Tribunal de Justiça de São Paulo (TJ/SP) e, ainda, de </w:t>
      </w:r>
      <w:r w:rsidR="00C503EF"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APOIO</w:t>
      </w:r>
      <w:r w:rsidR="00C503EF"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a aprovação da Emenda nº. 92 ao Projeto de Lei nº. 1112/2019 da Assembleia Legislativa do Estado de São Paulo (ALESP).</w:t>
      </w: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>Considerando que no ano de 2.017 o Tribunal de Justiça de São Paulo (TJ/SP) abriu concurso público para o provimento de 132 vagas apara Assistente Social Judiciário no Estado de São Paulo. Porém, até a presente data, foram nomeados apenas 32 aprovados, restando assim 100 Assistentes Sociais aguardando por sua convocação e nomeação, visto que estes foram aprovados dentro do número de vagas previsto no certame.</w:t>
      </w: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Considerando que os principais instrumentos de trabalho utilizados pelos assistentes sociais nesse espaço são as entrevistas sociais, visitas domiciliares e institucionais, entendimentos profissionais e 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lastRenderedPageBreak/>
        <w:t xml:space="preserve">administrativos, relatórios, laudos, pareceres e reuniões, a fim de auxiliar os magistrados nas decisões a serem tomadas, tornando, tal função, de </w:t>
      </w:r>
    </w:p>
    <w:p w:rsid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Default="00C503EF" w:rsidP="00C503EF">
      <w:pPr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Pr="00C503EF" w:rsidRDefault="00C503EF" w:rsidP="00C503EF">
      <w:pPr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proofErr w:type="gramStart"/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>relevantíssima</w:t>
      </w:r>
      <w:proofErr w:type="gramEnd"/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necessidade ao Tribunal e principalmente para sociedade, pois atuam de acordo com a especificidade da profissão, junto aos aspectos sociais das demandas apresentadas, fazendo o monitoramento dos beneficiários no cumprimento das determinações que são impostas, contribuindo para o acesso destes aos seus direitos.</w:t>
      </w:r>
    </w:p>
    <w:p w:rsidR="00C503EF" w:rsidRPr="00C503EF" w:rsidRDefault="00C503EF" w:rsidP="00C503EF">
      <w:pPr>
        <w:ind w:firstLine="170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>Considerando que o Projeto de Lei do Estado de São Paulo n.º 1.112/2.019 orça a Receita e fixa a Despesa do Estado para o exercício de 2.020;</w:t>
      </w: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>Considerando que o referido Projeto compreende o orçamento fiscal, o orçamento da seguridade social e o orçamento de investimentos das empresas em que o Estado detém a maioria do capital social, abrangendo, por conseguinte, todos os órgãos dos Poderes do Estado e os órgãos e entidades da Administração centralizada e descentralizada;</w:t>
      </w: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>Considerando que a Emenda Parlamentar n.º 92 ao Projeto supracitado, de propositura do Deputado Estadual Carlos Giannazi (PSOL), que terá como relator o Deputado Estadual Alex de Madureira (PSD) remaneja recursos para investimentos em contratação de pessoal, consistente na chamada dos aprovados no concurso público de Assistente Social Judiciário e Psicólogo do Tribunal de Justiça do Estado de São Paulo;</w:t>
      </w:r>
    </w:p>
    <w:p w:rsidR="00C503EF" w:rsidRPr="00C503EF" w:rsidRDefault="00C503EF" w:rsidP="00C503EF">
      <w:pPr>
        <w:ind w:firstLine="1701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503EF">
        <w:rPr>
          <w:rFonts w:ascii="Arial" w:eastAsia="Calibri" w:hAnsi="Arial" w:cs="Arial"/>
          <w:sz w:val="22"/>
          <w:szCs w:val="22"/>
          <w:lang w:eastAsia="en-US"/>
        </w:rPr>
        <w:tab/>
      </w:r>
      <w:r w:rsidRPr="00C503EF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C503EF" w:rsidRPr="00C503EF" w:rsidRDefault="00C503EF" w:rsidP="00C503EF">
      <w:pPr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                     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>Considerando que há cargos do referido concurso em que não foi nomeado nenhum aprovado até o presente momento;</w:t>
      </w: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>Considerando que esse concurso público vigeu por um ano e teve prorrogação por igual período, cujo prazo se findará no mês de março de 2.020;</w:t>
      </w: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</w:p>
    <w:p w:rsidR="00C503EF" w:rsidRPr="00C503EF" w:rsidRDefault="00C503EF" w:rsidP="00C503EF">
      <w:pPr>
        <w:ind w:firstLine="1701"/>
        <w:jc w:val="both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Posto isso e sendo aprovada a presente </w:t>
      </w:r>
      <w:r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MOÇÃO DE APOIO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, que se dê ciência ao Presidente do </w:t>
      </w:r>
      <w:r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Tribunal de Justiça do Estado de São Paulo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, o Desembargador </w:t>
      </w:r>
      <w:r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Manoel de Queiroz Pereira Calças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, ao Presidente da Mesa Diretora da Assembleia Legislativa de São Paulo, Deputado </w:t>
      </w:r>
      <w:r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Cauê Macris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(PSDB), ao relator do Projeto de Lei n.º 1.112/2.019, o Deputado Estadual </w:t>
      </w:r>
      <w:r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Alex de Madureira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(PSD), ao autor da Emenda nº. 92 ao Projeto de Lei nº. 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lastRenderedPageBreak/>
        <w:t xml:space="preserve">1112/2019, o Deputado Estadual </w:t>
      </w:r>
      <w:r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Carlos Giannazi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(PSOL), ao Governador do Estado de São Paulo, o Senhor </w:t>
      </w:r>
      <w:r w:rsidRPr="00C503EF">
        <w:rPr>
          <w:rFonts w:ascii="Bookman Old Style" w:eastAsia="Calibri" w:hAnsi="Bookman Old Style" w:cs="Arial"/>
          <w:b/>
          <w:sz w:val="24"/>
          <w:szCs w:val="24"/>
          <w:lang w:eastAsia="en-US"/>
        </w:rPr>
        <w:t>João Doria</w:t>
      </w:r>
      <w:r w:rsidRPr="00C503EF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(PSDB), e a todos os Deputados da Assembleia Legi</w:t>
      </w:r>
      <w:r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slativa do Estado de São Paulo. </w:t>
      </w:r>
    </w:p>
    <w:p w:rsidR="00A97168" w:rsidRPr="00C503EF" w:rsidRDefault="00FB308D">
      <w:pPr>
        <w:spacing w:line="360" w:lineRule="auto"/>
        <w:jc w:val="both"/>
        <w:rPr>
          <w:rFonts w:ascii="Bookman Old Style" w:hAnsi="Bookman Old Style" w:cs="Arial"/>
          <w:bCs/>
          <w:color w:val="000000"/>
          <w:sz w:val="24"/>
          <w:szCs w:val="24"/>
        </w:rPr>
      </w:pPr>
      <w:r w:rsidRPr="00C503EF">
        <w:rPr>
          <w:rFonts w:ascii="Bookman Old Style" w:hAnsi="Bookman Old Style" w:cs="Arial"/>
          <w:bCs/>
          <w:color w:val="000000"/>
          <w:sz w:val="24"/>
          <w:szCs w:val="24"/>
        </w:rPr>
        <w:t xml:space="preserve">                   </w:t>
      </w:r>
    </w:p>
    <w:p w:rsidR="00B01628" w:rsidRDefault="00FB308D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 </w:t>
      </w:r>
    </w:p>
    <w:p w:rsidR="00B01628" w:rsidRDefault="00B0162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A97168" w:rsidRDefault="00FB308D" w:rsidP="00C503EF">
      <w:pPr>
        <w:spacing w:line="360" w:lineRule="auto"/>
        <w:jc w:val="both"/>
        <w:rPr>
          <w:rFonts w:ascii="Calibri" w:hAnsi="Calibri" w:cs="Arial"/>
          <w:b/>
          <w:bCs/>
          <w:i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br/>
      </w:r>
    </w:p>
    <w:p w:rsidR="00B01628" w:rsidRDefault="00B01628" w:rsidP="00B01628">
      <w:pPr>
        <w:rPr>
          <w:rFonts w:ascii="Calibri" w:hAnsi="Calibri" w:cs="Arial"/>
          <w:bCs/>
          <w:color w:val="000000"/>
          <w:sz w:val="24"/>
          <w:szCs w:val="24"/>
        </w:rPr>
      </w:pPr>
    </w:p>
    <w:p w:rsidR="00A97168" w:rsidRDefault="00FB308D" w:rsidP="00B016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DAS SESSÕES “VEREADOR SA</w:t>
      </w:r>
      <w:r w:rsidR="00C503EF">
        <w:rPr>
          <w:b/>
          <w:sz w:val="22"/>
          <w:szCs w:val="22"/>
        </w:rPr>
        <w:t>NTO RÓTOLLI”, em 25 de novembro de 2019</w:t>
      </w:r>
    </w:p>
    <w:p w:rsidR="00A97168" w:rsidRDefault="00A97168" w:rsidP="00B01628">
      <w:pPr>
        <w:jc w:val="center"/>
        <w:rPr>
          <w:b/>
          <w:sz w:val="22"/>
          <w:szCs w:val="22"/>
        </w:rPr>
      </w:pPr>
    </w:p>
    <w:p w:rsidR="00A97168" w:rsidRDefault="00A97168">
      <w:pPr>
        <w:jc w:val="center"/>
        <w:rPr>
          <w:i/>
          <w:sz w:val="24"/>
        </w:rPr>
      </w:pPr>
    </w:p>
    <w:p w:rsidR="00A97168" w:rsidRDefault="00A97168">
      <w:pPr>
        <w:jc w:val="center"/>
        <w:rPr>
          <w:b/>
          <w:sz w:val="22"/>
          <w:szCs w:val="22"/>
        </w:rPr>
      </w:pPr>
    </w:p>
    <w:p w:rsidR="00A97168" w:rsidRPr="00B01628" w:rsidRDefault="00FB308D" w:rsidP="008305FC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01628"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A97168" w:rsidRPr="00C503EF" w:rsidRDefault="00FB308D" w:rsidP="008305FC">
      <w:pPr>
        <w:jc w:val="center"/>
        <w:rPr>
          <w:rFonts w:ascii="Bookman Old Style" w:hAnsi="Bookman Old Style"/>
          <w:sz w:val="24"/>
          <w:szCs w:val="24"/>
        </w:rPr>
      </w:pPr>
      <w:r w:rsidRPr="00C503EF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A97168" w:rsidRDefault="00FB308D" w:rsidP="008305F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rPr>
          <w:caps/>
          <w:sz w:val="24"/>
        </w:rPr>
      </w:pPr>
    </w:p>
    <w:p w:rsidR="00A97168" w:rsidRDefault="00A97168">
      <w:pPr>
        <w:rPr>
          <w:sz w:val="24"/>
        </w:rPr>
      </w:pPr>
    </w:p>
    <w:p w:rsidR="00A97168" w:rsidRDefault="00A97168"/>
    <w:sectPr w:rsidR="00A97168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39" w:rsidRDefault="001B4A39">
      <w:r>
        <w:separator/>
      </w:r>
    </w:p>
  </w:endnote>
  <w:endnote w:type="continuationSeparator" w:id="0">
    <w:p w:rsidR="001B4A39" w:rsidRDefault="001B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68" w:rsidRDefault="00FB308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39" w:rsidRDefault="001B4A39">
      <w:r>
        <w:separator/>
      </w:r>
    </w:p>
  </w:footnote>
  <w:footnote w:type="continuationSeparator" w:id="0">
    <w:p w:rsidR="001B4A39" w:rsidRDefault="001B4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97168" w:rsidRDefault="00A97168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7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97168" w:rsidRDefault="00FB308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97168" w:rsidRDefault="00A971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68"/>
    <w:rsid w:val="001B4A39"/>
    <w:rsid w:val="0029115C"/>
    <w:rsid w:val="008305FC"/>
    <w:rsid w:val="00A97168"/>
    <w:rsid w:val="00B01628"/>
    <w:rsid w:val="00C503EF"/>
    <w:rsid w:val="00CC4BBC"/>
    <w:rsid w:val="00E468DF"/>
    <w:rsid w:val="00F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F2BB1-8491-496B-9C40-F2757B1C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qFormat/>
    <w:rsid w:val="00B8678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B8678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D22A-3F17-4BAB-92A1-155A27F3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2019-09-13T17:17:00Z</cp:lastPrinted>
  <dcterms:created xsi:type="dcterms:W3CDTF">2019-11-25T23:20:00Z</dcterms:created>
  <dcterms:modified xsi:type="dcterms:W3CDTF">2019-11-25T23:20:00Z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