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003/2.021</w:t>
      </w: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003 de 2.021</w:t>
      </w: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 xml:space="preserve">Conforme determina o artigo 35 da Resolução n.º 276 de 09 de novembro de 2.010, a Comissão de Justiça e Redação formaliza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 Senhor Vereador Ademir de Souza Floretti Junior encaminha a esta Casa de Leis o Projeto de Lei nº 003/2.021, que “</w:t>
      </w:r>
      <w:r>
        <w:rPr>
          <w:rFonts w:ascii="Calibri" w:eastAsia="Calibri" w:hAnsi="Calibri" w:cs="Calibri"/>
          <w:b/>
          <w:sz w:val="26"/>
          <w:szCs w:val="26"/>
        </w:rPr>
        <w:t>ESTABELECE O RECONHECIMENTO DA ATIVIDADE RELIGIOSA COM</w:t>
      </w:r>
      <w:r>
        <w:rPr>
          <w:rFonts w:ascii="Calibri" w:eastAsia="Calibri" w:hAnsi="Calibri" w:cs="Calibri"/>
          <w:b/>
          <w:sz w:val="26"/>
          <w:szCs w:val="26"/>
        </w:rPr>
        <w:t>O ESSENCIAL PARA A POPULAÇÃO DO MUNICÍPIO DE MOGI MIRIM EM SITUAÇÕES DE CRISE ORIUNDAS DE EPIDEMIAS, PANDEMIAS, MOLÉSTIAS CONTAGIOSAS OU CATÁSTROFES NATURAIS</w:t>
      </w:r>
      <w:r>
        <w:rPr>
          <w:rFonts w:ascii="Calibri" w:eastAsia="Calibri" w:hAnsi="Calibri" w:cs="Calibri"/>
          <w:sz w:val="26"/>
          <w:szCs w:val="26"/>
        </w:rPr>
        <w:t>”.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 Projeto busca garantir a continuidade das atividades religiosas em seus templos, possibilita</w:t>
      </w:r>
      <w:r>
        <w:rPr>
          <w:rFonts w:ascii="Calibri" w:eastAsia="Calibri" w:hAnsi="Calibri" w:cs="Calibri"/>
          <w:sz w:val="26"/>
          <w:szCs w:val="26"/>
        </w:rPr>
        <w:t>ndo a continuidade do atendimento presencial, desde que respeitadas as recomendações sanitárias dos órgãos competentes.</w:t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Ou seja, o que se busca é o direito de manter os templos religiosos abertos em época de pandemia, mesmo que com restrições, por exemplo</w:t>
      </w:r>
      <w:r>
        <w:rPr>
          <w:rFonts w:ascii="Calibri" w:eastAsia="Calibri" w:hAnsi="Calibri" w:cs="Calibri"/>
          <w:sz w:val="26"/>
          <w:szCs w:val="26"/>
        </w:rPr>
        <w:t>, da realização de cultos de forma presencial.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 Comissão de Justiça e Redação requereu parecer da SGP - Soluções em Gestão Pública para avaliação do presente Projeto de Lei, que manifestou-se de forma </w:t>
      </w:r>
      <w:r>
        <w:rPr>
          <w:rFonts w:ascii="Calibri" w:eastAsia="Calibri" w:hAnsi="Calibri" w:cs="Calibri"/>
          <w:sz w:val="26"/>
          <w:szCs w:val="26"/>
        </w:rPr>
        <w:t>favorável co</w:t>
      </w:r>
      <w:r>
        <w:rPr>
          <w:rFonts w:ascii="Calibri" w:eastAsia="Calibri" w:hAnsi="Calibri" w:cs="Calibri"/>
          <w:sz w:val="26"/>
          <w:szCs w:val="26"/>
        </w:rPr>
        <w:t>nsiderando que tal serviço já consta como essencial junto aos Decretos Estaduais e Federais, não contrapondo, portanto, as regulamentações das outras esferas.</w:t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Corroborando tal posicionamento, a Comissão de Justiça e Redação verificou que a propositura em análise não apresenta vícios formais ou materiais que possam trazer mácula de inconstitucionalidade ou ilegalidade.</w:t>
      </w:r>
    </w:p>
    <w:p w:rsidR="00C059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Trata-se de propositura de natureza legisl</w:t>
      </w:r>
      <w:r>
        <w:rPr>
          <w:rFonts w:ascii="Calibri" w:eastAsia="Calibri" w:hAnsi="Calibri" w:cs="Calibri"/>
          <w:sz w:val="26"/>
          <w:szCs w:val="26"/>
        </w:rPr>
        <w:t>ativa e, quanto ao poder de iniciativa encontra-se em consonância com os artigos 19, “caput”, e 24, “caput”</w:t>
      </w:r>
      <w:r>
        <w:rPr>
          <w:rFonts w:ascii="Calibri" w:eastAsia="Calibri" w:hAnsi="Calibri" w:cs="Calibri"/>
          <w:i/>
          <w:sz w:val="26"/>
          <w:szCs w:val="26"/>
        </w:rPr>
        <w:t xml:space="preserve">, </w:t>
      </w:r>
      <w:r>
        <w:rPr>
          <w:rFonts w:ascii="Calibri" w:eastAsia="Calibri" w:hAnsi="Calibri" w:cs="Calibri"/>
          <w:sz w:val="26"/>
          <w:szCs w:val="26"/>
        </w:rPr>
        <w:t>ambos da Constituição do Estado, combinados com os artigos 31 e 32 da Lei Orgânica do Município e ainda com os artigos  139 e 140, esses últimos do</w:t>
      </w:r>
      <w:r>
        <w:rPr>
          <w:rFonts w:ascii="Calibri" w:eastAsia="Calibri" w:hAnsi="Calibri" w:cs="Calibri"/>
          <w:sz w:val="26"/>
          <w:szCs w:val="26"/>
        </w:rPr>
        <w:t xml:space="preserve"> Regimento Interno.</w:t>
      </w:r>
    </w:p>
    <w:p w:rsidR="00C059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Quanto ao mérito, o tema tratado no projeto passa pela religiosidade no Estado e encontra guarida em nossa Carta Magna, conforme dispõem os incisos VI e VII do Artigo 5º:</w:t>
      </w:r>
    </w:p>
    <w:p w:rsidR="00C059C9">
      <w:pPr>
        <w:pStyle w:val="normal0"/>
        <w:spacing w:before="240" w:after="240" w:line="276" w:lineRule="auto"/>
        <w:ind w:left="144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Artigo </w:t>
      </w:r>
      <w:r>
        <w:rPr>
          <w:rFonts w:ascii="Calibri" w:eastAsia="Calibri" w:hAnsi="Calibri" w:cs="Calibri"/>
          <w:i/>
          <w:sz w:val="26"/>
          <w:szCs w:val="26"/>
        </w:rPr>
        <w:t>5º Todos são iguais perante a lei, sem distinção de qual</w:t>
      </w:r>
      <w:r>
        <w:rPr>
          <w:rFonts w:ascii="Calibri" w:eastAsia="Calibri" w:hAnsi="Calibri" w:cs="Calibri"/>
          <w:i/>
          <w:sz w:val="26"/>
          <w:szCs w:val="26"/>
        </w:rPr>
        <w:t>quer natureza, garantindo-se aos brasileiros e aos estrangeiros residentes no País a inviolabilidade do direito à vida, à liberdade, à igualdade, à segurança e à propriedade, nos termos seguintes:</w:t>
      </w:r>
    </w:p>
    <w:p w:rsidR="00C059C9">
      <w:pPr>
        <w:pStyle w:val="normal0"/>
        <w:spacing w:before="240" w:after="240" w:line="276" w:lineRule="auto"/>
        <w:ind w:left="144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(...)</w:t>
      </w:r>
    </w:p>
    <w:p w:rsidR="00C059C9">
      <w:pPr>
        <w:pStyle w:val="normal0"/>
        <w:spacing w:before="240" w:after="240" w:line="276" w:lineRule="auto"/>
        <w:ind w:left="144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VI - é inviolável a liberdade de consciência e de cre</w:t>
      </w:r>
      <w:r>
        <w:rPr>
          <w:rFonts w:ascii="Calibri" w:eastAsia="Calibri" w:hAnsi="Calibri" w:cs="Calibri"/>
          <w:i/>
          <w:sz w:val="26"/>
          <w:szCs w:val="26"/>
        </w:rPr>
        <w:t>nça, sendo assegurado o livre exercício dos cultos religiosos e garantida, na forma da lei, a proteção aos locais de culto e a suas liturgias;</w:t>
      </w:r>
    </w:p>
    <w:p w:rsidR="00C059C9">
      <w:pPr>
        <w:pStyle w:val="normal0"/>
        <w:spacing w:before="240" w:after="240" w:line="276" w:lineRule="auto"/>
        <w:ind w:left="144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VII - é assegurada, nos termos da lei, a prestação de assistência religiosa nas entidades civis e militares de in</w:t>
      </w:r>
      <w:r>
        <w:rPr>
          <w:rFonts w:ascii="Calibri" w:eastAsia="Calibri" w:hAnsi="Calibri" w:cs="Calibri"/>
          <w:i/>
          <w:sz w:val="26"/>
          <w:szCs w:val="26"/>
        </w:rPr>
        <w:t>ternação coletiva;</w:t>
      </w:r>
    </w:p>
    <w:p w:rsidR="00C059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O presente projeto, portanto, está em consonância com o princípio da liberdade religiosa, garantindo a inviolabilidade de crença e, principalmente, a proteção aos locais de culto, assegurando a prestação de assistência religiosa nas en</w:t>
      </w:r>
      <w:r>
        <w:rPr>
          <w:rFonts w:ascii="Calibri" w:eastAsia="Calibri" w:hAnsi="Calibri" w:cs="Calibri"/>
          <w:sz w:val="26"/>
          <w:szCs w:val="26"/>
        </w:rPr>
        <w:t>tidades civis.</w:t>
      </w:r>
    </w:p>
    <w:p w:rsidR="00C059C9">
      <w:pPr>
        <w:pStyle w:val="normal0"/>
        <w:spacing w:before="240" w:after="240" w:line="276" w:lineRule="auto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Importante destacar que o Estado de São Paulo promulgou lei de idêntico teor. Desta forma, o presente projeto também não afronta o entendimento exarado pelo Supremo Tribunal Federal junto à ADI 6341.</w:t>
      </w:r>
    </w:p>
    <w:p w:rsidR="00C059C9">
      <w:pPr>
        <w:pStyle w:val="normal0"/>
        <w:spacing w:before="240" w:after="240" w:line="276" w:lineRule="auto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Comissão também constatou que idêntica medida foi adotada pelos estados do Rio Grande do Sul, Mato Grosso do Sul, Distrito Federal, Sergipe, Rio de Janeiro e nas cidades de Goiânia e Blumenau.</w:t>
      </w: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Por fim e no tocante ao aspecto gramatical e lógico da propos</w:t>
      </w:r>
      <w:r>
        <w:rPr>
          <w:rFonts w:ascii="Calibri" w:eastAsia="Calibri" w:hAnsi="Calibri" w:cs="Calibri"/>
          <w:sz w:val="26"/>
          <w:szCs w:val="26"/>
        </w:rPr>
        <w:t xml:space="preserve">ição, não se vislumbra necessidade de qualquer alteração ortográfica ou que visem melhor adequação da técnica legislativa a ser aplicada. 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III. Substitutivos, Emendas ou subemendas ao Projeto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A Comissão não propõe qualquer alteração ao Projeto de Lei s</w:t>
      </w:r>
      <w:r>
        <w:rPr>
          <w:rFonts w:ascii="Calibri" w:eastAsia="Calibri" w:hAnsi="Calibri" w:cs="Calibri"/>
          <w:sz w:val="26"/>
          <w:szCs w:val="26"/>
        </w:rPr>
        <w:t>ob análise.</w:t>
      </w: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C059C9">
      <w:pPr>
        <w:pStyle w:val="normal0"/>
      </w:pPr>
    </w:p>
    <w:p w:rsidR="00C059C9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considerando que não há óbice para o trâmite legislativo, haja vista que </w:t>
      </w:r>
      <w:r>
        <w:rPr>
          <w:rFonts w:ascii="Calibri" w:eastAsia="Calibri" w:hAnsi="Calibri" w:cs="Calibri"/>
          <w:sz w:val="26"/>
          <w:szCs w:val="26"/>
        </w:rPr>
        <w:t>o presente projeto de lei não padece de vício de constitucionalidade, esta Comissão o encaminha para apreciação e deliberação do Douto</w:t>
      </w:r>
      <w:r>
        <w:rPr>
          <w:rFonts w:ascii="Calibri" w:eastAsia="Calibri" w:hAnsi="Calibri" w:cs="Calibri"/>
          <w:sz w:val="26"/>
          <w:szCs w:val="26"/>
        </w:rPr>
        <w:t xml:space="preserve"> Plenário.</w:t>
      </w:r>
    </w:p>
    <w:p w:rsidR="00C059C9">
      <w:pPr>
        <w:pStyle w:val="normal0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C059C9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Sala das Comissões, em 04 de fevereiro de 2.021.</w:t>
      </w:r>
    </w:p>
    <w:p w:rsidR="00C059C9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C059C9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sz w:val="26"/>
          <w:szCs w:val="26"/>
          <w:highlight w:val="white"/>
          <w:u w:val="single"/>
        </w:rPr>
        <w:t>COMISSÃO DE JUSTIÇA E REDAÇÃO</w:t>
      </w:r>
    </w:p>
    <w:p w:rsidR="00C059C9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059C9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 VICTOR GASPARINI</w:t>
      </w:r>
    </w:p>
    <w:p w:rsidR="00C059C9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MEMBRO / RELATOR</w:t>
      </w:r>
    </w:p>
    <w:sectPr w:rsidSect="00C059C9">
      <w:headerReference w:type="even" r:id="rId4"/>
      <w:headerReference w:type="default" r:id="rId5"/>
      <w:footerReference w:type="default" r:id="rId6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E3459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059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C059C9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7067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C059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059C9"/>
    <w:rsid w:val="009F246E"/>
    <w:rsid w:val="00C059C9"/>
    <w:rsid w:val="00E345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059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059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059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059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059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059C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59C9"/>
  </w:style>
  <w:style w:type="table" w:customStyle="1" w:styleId="TableNormal0">
    <w:name w:val="Table Normal_0"/>
    <w:rsid w:val="00C059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059C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059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F24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F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dcterms:created xsi:type="dcterms:W3CDTF">2021-02-11T19:12:00Z</dcterms:created>
  <dcterms:modified xsi:type="dcterms:W3CDTF">2021-02-11T19:12:00Z</dcterms:modified>
</cp:coreProperties>
</file>