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0261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RESOLUÇÃO N.º        , DE 2021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Altera dispositivos da Resolução 276/10 (Regimento Interno da Câmara Municipal de Mogi Mirim), estabelecendo a criação e regulamentação de Frentes Parlamentares.</w:t>
      </w:r>
    </w:p>
    <w:p w:rsidR="00F02615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 CÂMARA MUNICIPAL DE MOGI MIRIM </w:t>
      </w:r>
      <w:r>
        <w:rPr>
          <w:rFonts w:ascii="Arial" w:eastAsia="Arial" w:hAnsi="Arial" w:cs="Arial"/>
          <w:sz w:val="24"/>
          <w:szCs w:val="24"/>
        </w:rPr>
        <w:t xml:space="preserve">no uso da atribuição que lhe confere o artigo 145, §1º, inciso I do Regimento Interno e nos termos do resolvido pelo Plenário, promulga a seguinte resolução: 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1º</w:t>
      </w:r>
      <w:r>
        <w:rPr>
          <w:rFonts w:ascii="Arial" w:eastAsia="Arial" w:hAnsi="Arial" w:cs="Arial"/>
          <w:sz w:val="24"/>
          <w:szCs w:val="24"/>
        </w:rPr>
        <w:t xml:space="preserve"> Pela presente Resolução ficam alterados dispositivos do Regimento Interno da Câmara Mu</w:t>
      </w:r>
      <w:r>
        <w:rPr>
          <w:rFonts w:ascii="Arial" w:eastAsia="Arial" w:hAnsi="Arial" w:cs="Arial"/>
          <w:sz w:val="24"/>
          <w:szCs w:val="24"/>
        </w:rPr>
        <w:t>nicipal de Mogi Mirim, visando à criação e regulamentação de Frentes Parlamentares.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O Título III do Regimento Interno passa a vigorar com a seguinte redação: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“Título III – DAS COMISSÕES E FRENTES PARLAMENTARES</w:t>
      </w:r>
      <w:r>
        <w:rPr>
          <w:rFonts w:ascii="Arial" w:eastAsia="Arial" w:hAnsi="Arial" w:cs="Arial"/>
          <w:sz w:val="24"/>
          <w:szCs w:val="24"/>
        </w:rPr>
        <w:t>”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Acrescenta-se o Capítulo I</w:t>
      </w:r>
      <w:r>
        <w:rPr>
          <w:rFonts w:ascii="Arial" w:eastAsia="Arial" w:hAnsi="Arial" w:cs="Arial"/>
          <w:sz w:val="24"/>
          <w:szCs w:val="24"/>
        </w:rPr>
        <w:t>V ao Título III do Regimento Interno da Câmara Municipal de Mogi Mirim, com a seguinte redação: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"Capítulo IV – DAS FRENTES PARLAMENTARES</w:t>
      </w:r>
      <w:r>
        <w:rPr>
          <w:rFonts w:ascii="Arial" w:eastAsia="Arial" w:hAnsi="Arial" w:cs="Arial"/>
          <w:sz w:val="24"/>
          <w:szCs w:val="24"/>
        </w:rPr>
        <w:t>”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b/>
          <w:sz w:val="24"/>
          <w:szCs w:val="24"/>
        </w:rPr>
        <w:t>Art. 64-A</w:t>
      </w:r>
      <w:r>
        <w:rPr>
          <w:rFonts w:ascii="Arial" w:eastAsia="Arial" w:hAnsi="Arial" w:cs="Arial"/>
          <w:sz w:val="24"/>
          <w:szCs w:val="24"/>
        </w:rPr>
        <w:t xml:space="preserve"> Constitui Frente Parlamentar a agremiação suprapartidária composta por pelo menos três membros do Poder L</w:t>
      </w:r>
      <w:r>
        <w:rPr>
          <w:rFonts w:ascii="Arial" w:eastAsia="Arial" w:hAnsi="Arial" w:cs="Arial"/>
          <w:sz w:val="24"/>
          <w:szCs w:val="24"/>
        </w:rPr>
        <w:t>egislativo Municipal, destinada a representar tema de relevante interesse social, através da promoção de debates, aprimoramento da legislação, desenvolvimento de políticas públicas e acompanhamento a pautas do setor referenciado.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</w:t>
      </w:r>
      <w:r>
        <w:rPr>
          <w:rFonts w:ascii="Arial" w:eastAsia="Arial" w:hAnsi="Arial" w:cs="Arial"/>
          <w:sz w:val="24"/>
          <w:szCs w:val="24"/>
        </w:rPr>
        <w:t xml:space="preserve"> A Frente Parlamentar poderá contar ainda, em suas atividades, com a participação de representantes da sociedade civil, organizações da sociedade civil, entidades filantrópicas, órgãos e representações de classe, órgãos públicos e privados, com ou sem fins</w:t>
      </w:r>
      <w:r>
        <w:rPr>
          <w:rFonts w:ascii="Arial" w:eastAsia="Arial" w:hAnsi="Arial" w:cs="Arial"/>
          <w:sz w:val="24"/>
          <w:szCs w:val="24"/>
        </w:rPr>
        <w:t xml:space="preserve"> lucrativos, desde que envolvidas no objeto de criação.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64-B</w:t>
      </w:r>
      <w:r>
        <w:rPr>
          <w:rFonts w:ascii="Arial" w:eastAsia="Arial" w:hAnsi="Arial" w:cs="Arial"/>
          <w:sz w:val="24"/>
          <w:szCs w:val="24"/>
        </w:rPr>
        <w:t xml:space="preserve"> Compete à Frente Parlamentar: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–</w:t>
      </w:r>
      <w:r>
        <w:rPr>
          <w:rFonts w:ascii="Arial" w:eastAsia="Arial" w:hAnsi="Arial" w:cs="Arial"/>
          <w:sz w:val="24"/>
          <w:szCs w:val="24"/>
        </w:rPr>
        <w:t xml:space="preserve"> Desenvolver políticas públicas, de forma autônoma, através do Poder Legislativo ou em conjunto com o Poder Executivo e órgãos competentes, relacionadas ao </w:t>
      </w:r>
      <w:r>
        <w:rPr>
          <w:rFonts w:ascii="Arial" w:eastAsia="Arial" w:hAnsi="Arial" w:cs="Arial"/>
          <w:sz w:val="24"/>
          <w:szCs w:val="24"/>
        </w:rPr>
        <w:t>tema representado pela Frente Parlamentar.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–</w:t>
      </w:r>
      <w:r>
        <w:rPr>
          <w:rFonts w:ascii="Arial" w:eastAsia="Arial" w:hAnsi="Arial" w:cs="Arial"/>
          <w:sz w:val="24"/>
          <w:szCs w:val="24"/>
        </w:rPr>
        <w:t xml:space="preserve"> Realizar audiências públicas com entidades civis organizadas e com dirigentes de órgãos públicos;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 –</w:t>
      </w:r>
      <w:r>
        <w:rPr>
          <w:rFonts w:ascii="Arial" w:eastAsia="Arial" w:hAnsi="Arial" w:cs="Arial"/>
          <w:sz w:val="24"/>
          <w:szCs w:val="24"/>
        </w:rPr>
        <w:t xml:space="preserve"> Realizar seminários e estudos relativos aos temas para as quais foram constituídas;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 –</w:t>
      </w:r>
      <w:r>
        <w:rPr>
          <w:rFonts w:ascii="Arial" w:eastAsia="Arial" w:hAnsi="Arial" w:cs="Arial"/>
          <w:sz w:val="24"/>
          <w:szCs w:val="24"/>
        </w:rPr>
        <w:t xml:space="preserve"> Apresentar, em </w:t>
      </w:r>
      <w:r>
        <w:rPr>
          <w:rFonts w:ascii="Arial" w:eastAsia="Arial" w:hAnsi="Arial" w:cs="Arial"/>
          <w:sz w:val="24"/>
          <w:szCs w:val="24"/>
        </w:rPr>
        <w:t>nome de seus membros, projetos de lei e resoluções relativos aos temas desenvolvidos pela Frente Parlamentar.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 –</w:t>
      </w:r>
      <w:r>
        <w:rPr>
          <w:rFonts w:ascii="Arial" w:eastAsia="Arial" w:hAnsi="Arial" w:cs="Arial"/>
          <w:sz w:val="24"/>
          <w:szCs w:val="24"/>
        </w:rPr>
        <w:t xml:space="preserve"> Produzir relatórios periódicos indicando as ações realizadas pela agremiação e diagnósticos sobre a situação do setor representado pela Frente</w:t>
      </w:r>
      <w:r>
        <w:rPr>
          <w:rFonts w:ascii="Arial" w:eastAsia="Arial" w:hAnsi="Arial" w:cs="Arial"/>
          <w:sz w:val="24"/>
          <w:szCs w:val="24"/>
        </w:rPr>
        <w:t xml:space="preserve"> na cidade.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64-C</w:t>
      </w:r>
      <w:r>
        <w:rPr>
          <w:rFonts w:ascii="Arial" w:eastAsia="Arial" w:hAnsi="Arial" w:cs="Arial"/>
          <w:sz w:val="24"/>
          <w:szCs w:val="24"/>
        </w:rPr>
        <w:t xml:space="preserve"> A iniciativa para constituição de cada Frente Parlamentar dar-se-á mediante apresentação de Projeto de Decreto Legislativo à Mesa Diretora da Câmara, indicando o nome e objetivos pretendidos, subscrito por no mínimo um </w:t>
      </w:r>
      <w:r>
        <w:rPr>
          <w:rFonts w:ascii="Arial" w:eastAsia="Arial" w:hAnsi="Arial" w:cs="Arial"/>
          <w:sz w:val="24"/>
          <w:szCs w:val="24"/>
        </w:rPr>
        <w:t>terço dos vere</w:t>
      </w:r>
      <w:r>
        <w:rPr>
          <w:rFonts w:ascii="Arial" w:eastAsia="Arial" w:hAnsi="Arial" w:cs="Arial"/>
          <w:sz w:val="24"/>
          <w:szCs w:val="24"/>
        </w:rPr>
        <w:t>adores ou por Comissão Permanente, que serão considerados autores da constituição.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</w:t>
      </w:r>
      <w:r>
        <w:rPr>
          <w:rFonts w:ascii="Arial" w:eastAsia="Arial" w:hAnsi="Arial" w:cs="Arial"/>
          <w:sz w:val="24"/>
          <w:szCs w:val="24"/>
        </w:rPr>
        <w:t xml:space="preserve"> Após devida aprovação em Plenário, dentro do prazo de 10 dias, qualquer vereador que não tenha participado do ato constituinte da Frente Parlamentar poderá </w:t>
      </w:r>
      <w:r>
        <w:rPr>
          <w:rFonts w:ascii="Arial" w:eastAsia="Arial" w:hAnsi="Arial" w:cs="Arial"/>
          <w:sz w:val="24"/>
          <w:szCs w:val="24"/>
        </w:rPr>
        <w:t>solicitar à Mesa Diretora da Câmara a sua adesão à Agremiação.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64-D</w:t>
      </w:r>
      <w:r>
        <w:rPr>
          <w:rFonts w:ascii="Arial" w:eastAsia="Arial" w:hAnsi="Arial" w:cs="Arial"/>
          <w:sz w:val="24"/>
          <w:szCs w:val="24"/>
        </w:rPr>
        <w:t xml:space="preserve"> O primeiro signatário do Projeto de Decreto Legislativo será considerado o autor da proposta e ocupará a posição de Presidente da Frente Parlamentar, cabendo aos membros, na reunião </w:t>
      </w:r>
      <w:r>
        <w:rPr>
          <w:rFonts w:ascii="Arial" w:eastAsia="Arial" w:hAnsi="Arial" w:cs="Arial"/>
          <w:sz w:val="24"/>
          <w:szCs w:val="24"/>
        </w:rPr>
        <w:t>de instalação, a escolha do vice-presidente e secretário.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Após a definição da composição estrutural da Frente, a ocupação dos cargos deverá ser informada à Mesa Diretora da Câmara para que haja a oficialização da instalação.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Os mandatos do Presidente, vice-presidente e secretário terão suas durações equivalentes ao prazo de funcionamento da Frente Parlamentar, sendo permitida a recondução em casos de prorrogação, desde que aprovado pela maioria dos membros da Frente Parlament</w:t>
      </w:r>
      <w:r>
        <w:rPr>
          <w:rFonts w:ascii="Arial" w:eastAsia="Arial" w:hAnsi="Arial" w:cs="Arial"/>
          <w:sz w:val="24"/>
          <w:szCs w:val="24"/>
        </w:rPr>
        <w:t>ar.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64-E</w:t>
      </w:r>
      <w:r>
        <w:rPr>
          <w:rFonts w:ascii="Arial" w:eastAsia="Arial" w:hAnsi="Arial" w:cs="Arial"/>
          <w:sz w:val="24"/>
          <w:szCs w:val="24"/>
        </w:rPr>
        <w:t xml:space="preserve"> Caberá ao Presidente a condução dos trabalhos da Frente Parlamentar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A exclusão de qualquer membro efetivo, por eventual desligamento, bem como a inclusão de novos, deverá ser feita mediante ofício do Presidente da Frente dirigido à Mes</w:t>
      </w:r>
      <w:r>
        <w:rPr>
          <w:rFonts w:ascii="Arial" w:eastAsia="Arial" w:hAnsi="Arial" w:cs="Arial"/>
          <w:sz w:val="24"/>
          <w:szCs w:val="24"/>
        </w:rPr>
        <w:t xml:space="preserve">a Diretora da Câmara, que determinará ao setor competente a sua publicação e atualização da composição da Frente. 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Se houver exclusão ou desligamento voluntário de membros da Frente Parlamentar, de modo a comprometer o número mínimo de integrantes ex</w:t>
      </w:r>
      <w:r>
        <w:rPr>
          <w:rFonts w:ascii="Arial" w:eastAsia="Arial" w:hAnsi="Arial" w:cs="Arial"/>
          <w:sz w:val="24"/>
          <w:szCs w:val="24"/>
        </w:rPr>
        <w:t xml:space="preserve">igido pelo Artigo 64-A e a composição suprapartidária, a agremiação terá prazo de 30 (trinta) dias, contado a partir da data de comunicação à Mesa Diretora, para adequar sua organização. 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3º</w:t>
      </w:r>
      <w:r>
        <w:rPr>
          <w:rFonts w:ascii="Arial" w:eastAsia="Arial" w:hAnsi="Arial" w:cs="Arial"/>
          <w:sz w:val="24"/>
          <w:szCs w:val="24"/>
        </w:rPr>
        <w:t xml:space="preserve">  Caso a Frente Parlamentar não promova as adequações estipulad</w:t>
      </w:r>
      <w:r>
        <w:rPr>
          <w:rFonts w:ascii="Arial" w:eastAsia="Arial" w:hAnsi="Arial" w:cs="Arial"/>
          <w:sz w:val="24"/>
          <w:szCs w:val="24"/>
        </w:rPr>
        <w:t>as no parágrafo anterior, deverá concluir seus trabalhos nos 30 (trinta) dias subsequentes, entregando à Mesa Diretora relatório com todas as ações promovidas, quando então terá comunicada sua extinção.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64-F</w:t>
      </w:r>
      <w:r>
        <w:rPr>
          <w:rFonts w:ascii="Arial" w:eastAsia="Arial" w:hAnsi="Arial" w:cs="Arial"/>
          <w:sz w:val="24"/>
          <w:szCs w:val="24"/>
        </w:rPr>
        <w:t xml:space="preserve"> Poderão funcionar no máximo 8 (oito) Frentes Parlamentares de forma concomitante.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Das Frentes Parlamentares em funcionamento, poderão funcionar concomitantemente apenas 2 (duas) propostas por um mesmo vereador.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O vereador poderá aderir a no máxi</w:t>
      </w:r>
      <w:r>
        <w:rPr>
          <w:rFonts w:ascii="Arial" w:eastAsia="Arial" w:hAnsi="Arial" w:cs="Arial"/>
          <w:sz w:val="24"/>
          <w:szCs w:val="24"/>
        </w:rPr>
        <w:t>mo 4 (quatro) Frentes Parlamentares de forma concomitante, incluindo nestas as estabelecidas do parágrafo anterior.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64-G</w:t>
      </w:r>
      <w:r>
        <w:rPr>
          <w:rFonts w:ascii="Arial" w:eastAsia="Arial" w:hAnsi="Arial" w:cs="Arial"/>
          <w:sz w:val="24"/>
          <w:szCs w:val="24"/>
        </w:rPr>
        <w:t xml:space="preserve"> Os temas a serem tratados pelas Frentes Parlamentares não poderão ser objeto específico de Comissão Permanente ou possuir objeto </w:t>
      </w:r>
      <w:r>
        <w:rPr>
          <w:rFonts w:ascii="Arial" w:eastAsia="Arial" w:hAnsi="Arial" w:cs="Arial"/>
          <w:sz w:val="24"/>
          <w:szCs w:val="24"/>
        </w:rPr>
        <w:t>igual ou semelhante ao de outra Frente Parlamentar já em funcionamento.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64-H</w:t>
      </w:r>
      <w:r>
        <w:rPr>
          <w:rFonts w:ascii="Arial" w:eastAsia="Arial" w:hAnsi="Arial" w:cs="Arial"/>
          <w:sz w:val="24"/>
          <w:szCs w:val="24"/>
        </w:rPr>
        <w:t xml:space="preserve"> As Frentes parlamentares instaladas poderão requerer assessoramento técnico, bem como a utilização do espaço físico da Câmara Municipal para a realização de reuniões, cabend</w:t>
      </w:r>
      <w:r>
        <w:rPr>
          <w:rFonts w:ascii="Arial" w:eastAsia="Arial" w:hAnsi="Arial" w:cs="Arial"/>
          <w:sz w:val="24"/>
          <w:szCs w:val="24"/>
        </w:rPr>
        <w:t>o oficiar à Presidência da Casa com antecedência mínima de 72 (setenta e duas) horas.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</w:t>
      </w:r>
      <w:r>
        <w:rPr>
          <w:rFonts w:ascii="Arial" w:eastAsia="Arial" w:hAnsi="Arial" w:cs="Arial"/>
          <w:sz w:val="24"/>
          <w:szCs w:val="24"/>
        </w:rPr>
        <w:t xml:space="preserve"> As reuniões serão sempre públicas e constadas em ata para consulta pública.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64-I </w:t>
      </w:r>
      <w:r>
        <w:rPr>
          <w:rFonts w:ascii="Arial" w:eastAsia="Arial" w:hAnsi="Arial" w:cs="Arial"/>
          <w:sz w:val="24"/>
          <w:szCs w:val="24"/>
        </w:rPr>
        <w:t>As Frentes Parlamentares terão duração de 12 (doze) meses prorrogá</w:t>
      </w:r>
      <w:r>
        <w:rPr>
          <w:rFonts w:ascii="Arial" w:eastAsia="Arial" w:hAnsi="Arial" w:cs="Arial"/>
          <w:sz w:val="24"/>
          <w:szCs w:val="24"/>
        </w:rPr>
        <w:t>veis por igual período e, desde que devidamente justificado, poderão ser encerradas em prazo inferior quando concluídos seus trabalhos.</w:t>
      </w:r>
    </w:p>
    <w:p w:rsidR="00F02615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§ 1º </w:t>
      </w:r>
      <w:r>
        <w:rPr>
          <w:rFonts w:ascii="Arial" w:eastAsia="Arial" w:hAnsi="Arial" w:cs="Arial"/>
          <w:sz w:val="24"/>
          <w:szCs w:val="24"/>
        </w:rPr>
        <w:t>As Frentes Parlamentares serão extintas automaticamente ao final da legislatura na qual foram criadas.</w:t>
      </w:r>
    </w:p>
    <w:p w:rsidR="00F02615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§ 2º </w:t>
      </w:r>
      <w:r>
        <w:rPr>
          <w:rFonts w:ascii="Arial" w:eastAsia="Arial" w:hAnsi="Arial" w:cs="Arial"/>
          <w:sz w:val="24"/>
          <w:szCs w:val="24"/>
        </w:rPr>
        <w:t>Ao fi</w:t>
      </w:r>
      <w:r>
        <w:rPr>
          <w:rFonts w:ascii="Arial" w:eastAsia="Arial" w:hAnsi="Arial" w:cs="Arial"/>
          <w:sz w:val="24"/>
          <w:szCs w:val="24"/>
        </w:rPr>
        <w:t>nal, deverá ser entregue ao Presidente da Câmara um relatório apontando as ações realizadas e diagnóstico sobre a situação do setor representado na cidade.”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Incluí-se o inciso VI no artigo 144 com a seguinte redação:</w:t>
      </w:r>
    </w:p>
    <w:p w:rsidR="00F02615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02615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“VI – Criação de Frentes Par</w:t>
      </w:r>
      <w:r>
        <w:rPr>
          <w:rFonts w:ascii="Arial" w:eastAsia="Arial" w:hAnsi="Arial" w:cs="Arial"/>
          <w:sz w:val="24"/>
          <w:szCs w:val="24"/>
        </w:rPr>
        <w:t>lamentares”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5º</w:t>
      </w:r>
      <w:r>
        <w:rPr>
          <w:rFonts w:ascii="Arial" w:eastAsia="Arial" w:hAnsi="Arial" w:cs="Arial"/>
          <w:sz w:val="24"/>
          <w:szCs w:val="24"/>
        </w:rPr>
        <w:t xml:space="preserve"> As despesas resultantes da aplicação desta Resolução correrão à conta das dotações orçamentárias próprias.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6º</w:t>
      </w:r>
      <w:r>
        <w:rPr>
          <w:rFonts w:ascii="Arial" w:eastAsia="Arial" w:hAnsi="Arial" w:cs="Arial"/>
          <w:sz w:val="24"/>
          <w:szCs w:val="24"/>
        </w:rPr>
        <w:t xml:space="preserve"> Esta resolução entra em vigor na data de sua publicação. </w:t>
      </w: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Sala das Sessões “Vereador Santo Róttoli”, 22 de fevereiro de 2021.</w:t>
      </w: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02615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JUSTIFICAÇÃO</w:t>
      </w:r>
    </w:p>
    <w:p w:rsidR="00F02615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busca pelo constante aprimoramento do trabalho legislativo municipal e em consonância com as principais Casas de Leis do Brasil, é indispensável às atividades da Câmara de Mogi Mirim que seja feita reformulação em seu Regimento Interno a fim de estabele</w:t>
      </w:r>
      <w:r>
        <w:rPr>
          <w:rFonts w:ascii="Arial" w:eastAsia="Arial" w:hAnsi="Arial" w:cs="Arial"/>
          <w:color w:val="000000"/>
          <w:sz w:val="24"/>
          <w:szCs w:val="24"/>
        </w:rPr>
        <w:t>cer o funcionamento e regulamento de Frentes Parlamentares.</w:t>
      </w: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Frentes Parlamentares são grupamentos dos edis que permitem que determinadas pautas de relevância social possam ser tratadas de forma mais enfática e representativa por aqueles que as simboliz</w:t>
      </w:r>
      <w:r>
        <w:rPr>
          <w:rFonts w:ascii="Arial" w:eastAsia="Arial" w:hAnsi="Arial" w:cs="Arial"/>
          <w:color w:val="000000"/>
          <w:sz w:val="24"/>
          <w:szCs w:val="24"/>
        </w:rPr>
        <w:t>am e legitimam as lutas intrínsecas à causa.</w:t>
      </w: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Segmentar o trabalho legislativo é uma das melhores formas de evidenciar e garantir a devida atenção e tratamento a setores de fundamental importância à população, fazendo com os vereadores possam focar em assu</w:t>
      </w:r>
      <w:r>
        <w:rPr>
          <w:rFonts w:ascii="Arial" w:eastAsia="Arial" w:hAnsi="Arial" w:cs="Arial"/>
          <w:color w:val="000000"/>
          <w:sz w:val="24"/>
          <w:szCs w:val="24"/>
        </w:rPr>
        <w:t>ntos que detém maior conhecimento e, assim, atuem junto aos segmentos sociais com que possuem maior afinidade, produzindo legislações e políticas públicas mais eficientes às demandas e problemas públicos.</w:t>
      </w: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contrário das Comissões, as Frentes Parlamentar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possuem caráter mais propositivo e de posicionamento representativo permanente, inclusive em Plenário, e podem atuar em pautas específicas não regimentadas nos temas das comissões permanentes.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Consideradas todas essas características das Frentes Parl</w:t>
      </w:r>
      <w:r>
        <w:rPr>
          <w:rFonts w:ascii="Arial" w:eastAsia="Arial" w:hAnsi="Arial" w:cs="Arial"/>
          <w:color w:val="000000"/>
          <w:sz w:val="24"/>
          <w:szCs w:val="24"/>
        </w:rPr>
        <w:t>amentares, mais que sabidas e notadas pelos vereadores de Mogi Mirim, algumas já se estabeleciam no espaço local, mas sem qualquer tipo de regulamentação que as definissem e com efeitos muitas vezes inócuos.</w:t>
      </w: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Mesmo que previstas suas possibilidades de existência em Casas Legislativas federais e estaduais, as normativas superiores apenas firmam as perspectivas de poderem existir nas demais Casas de Leis do país, não obstante rejam apenas os funcionamentos em seu</w:t>
      </w:r>
      <w:r>
        <w:rPr>
          <w:rFonts w:ascii="Arial" w:eastAsia="Arial" w:hAnsi="Arial" w:cs="Arial"/>
          <w:color w:val="000000"/>
          <w:sz w:val="24"/>
          <w:szCs w:val="24"/>
        </w:rPr>
        <w:t>s próprios espaços. Dessa forma, com Câmara dos Deputados tendo uma resolução própria para o funcionamento de suas Frentes Parlamentares, Senado tendo outra, Assembleia Legislativa do Estado de São Paulo também tendo uma específica, não há nem por simetria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entendimento que possibilite a </w:t>
      </w:r>
      <w:r>
        <w:rPr>
          <w:rFonts w:ascii="Arial" w:eastAsia="Arial" w:hAnsi="Arial" w:cs="Arial"/>
          <w:color w:val="000000"/>
          <w:sz w:val="24"/>
          <w:szCs w:val="24"/>
        </w:rPr>
        <w:t>existência e eficácia de Frentes Parlamentares em Mogi Mirim sem previsão regimental própria.</w:t>
      </w: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02615">
      <w:pPr>
        <w:spacing w:line="360" w:lineRule="auto"/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Dessa forma, a fim de atuar na solução dessa questão e auxiliar os trabalhos legislativos da Câmara Municipal, de modo que ela passe a ser cada vez mais representativa junto à população e possa desenvolver as melhores legislações acerca de temas de relevan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te interesse social, é fundamental que a Casa de Leis discuta e aprove este projeto, considerando todas suas necessidades e anseios. </w:t>
      </w:r>
    </w:p>
    <w:p w:rsidR="00F02615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F02615">
      <w:pPr>
        <w:spacing w:line="360" w:lineRule="auto"/>
        <w:ind w:left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Conscientes de nossas responsabilidades junto aos populares e a necessidade de aperfeiçoamento do trabalho legislativo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visando à modernização e a maior aproximação da população, conclamo os nobres pares que se unam nesta empreitada. </w:t>
      </w:r>
    </w:p>
    <w:p w:rsidR="00F02615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02615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F0261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sectPr w:rsidSect="00F02615">
      <w:headerReference w:type="default" r:id="rId5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0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114300</wp:posOffset>
          </wp:positionV>
          <wp:extent cx="1095375" cy="971550"/>
          <wp:effectExtent l="19050" t="0" r="9525" b="0"/>
          <wp:wrapTopAndBottom/>
          <wp:docPr id="3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34878" name="image1.png" descr="BrasaoCores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5183">
      <w:rPr>
        <w:rFonts w:ascii="Arial" w:eastAsia="Arial" w:hAnsi="Arial" w:cs="Arial"/>
        <w:b/>
        <w:color w:val="000000"/>
        <w:sz w:val="32"/>
        <w:szCs w:val="32"/>
      </w:rPr>
      <w:t xml:space="preserve">         </w:t>
    </w:r>
  </w:p>
  <w:p w:rsidR="00F02615" w:rsidP="001250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        </w:t>
    </w:r>
    <w:r w:rsidR="00835183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F026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</w:t>
    </w:r>
    <w:r w:rsidR="00125074">
      <w:rPr>
        <w:rFonts w:ascii="Arial" w:eastAsia="Arial" w:hAnsi="Arial" w:cs="Arial"/>
        <w:b/>
        <w:color w:val="000000"/>
        <w:sz w:val="32"/>
        <w:szCs w:val="32"/>
      </w:rPr>
      <w:t xml:space="preserve"> </w:t>
    </w:r>
    <w:r>
      <w:rPr>
        <w:rFonts w:ascii="Arial" w:eastAsia="Arial" w:hAnsi="Arial" w:cs="Arial"/>
        <w:b/>
        <w:color w:val="000000"/>
        <w:sz w:val="32"/>
        <w:szCs w:val="32"/>
      </w:rPr>
      <w:t xml:space="preserve">              Estado de São Paulo</w:t>
    </w:r>
  </w:p>
  <w:p w:rsidR="00F026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02615"/>
    <w:rsid w:val="00125074"/>
    <w:rsid w:val="00835183"/>
    <w:rsid w:val="00D84F4A"/>
    <w:rsid w:val="00F026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BF"/>
  </w:style>
  <w:style w:type="paragraph" w:styleId="Heading1">
    <w:name w:val="heading 1"/>
    <w:basedOn w:val="normal0"/>
    <w:next w:val="normal0"/>
    <w:rsid w:val="00F026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026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0"/>
    <w:next w:val="normal0"/>
    <w:rsid w:val="00F026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0"/>
    <w:next w:val="normal0"/>
    <w:rsid w:val="00F0261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02615"/>
  </w:style>
  <w:style w:type="table" w:customStyle="1" w:styleId="TableNormal0">
    <w:name w:val="Table Normal_0"/>
    <w:rsid w:val="00F026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F0261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1D29B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1D29BF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F026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KpOi+PRV3jes9EL1wQQ/1amdBQ==">AMUW2mW3Xd1Mdezas1/QTcw1iUaVCo9L/AKY0KL95ff2DobjOgbohY7t3HNrXLu4/YXRtB7K693Ew/7HYDegMgAVyLVmd+D/jx+TSIlzmNvUPe+N6N5EzsAhR1XH1pLSTcSrGupZlKJ2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1445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3</cp:revision>
  <dcterms:created xsi:type="dcterms:W3CDTF">2021-02-19T16:22:00Z</dcterms:created>
  <dcterms:modified xsi:type="dcterms:W3CDTF">2021-02-19T16:23:00Z</dcterms:modified>
</cp:coreProperties>
</file>