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DD1479" w:rsidRDefault="00DD1479" w:rsidP="00DD147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014/21</w:t>
      </w:r>
    </w:p>
    <w:p w:rsidR="00DD1479" w:rsidRDefault="00DD1479" w:rsidP="00DD1479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[Protocolo/SAAE 631/21]</w:t>
      </w:r>
    </w:p>
    <w:p w:rsidR="00DD1479" w:rsidRDefault="00DD1479" w:rsidP="00DD14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D1479" w:rsidRDefault="00DD1479" w:rsidP="00DD14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D1479" w:rsidRDefault="00DD1479" w:rsidP="00DD14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r>
        <w:rPr>
          <w:rFonts w:ascii="Times New Roman" w:eastAsia="MS Mincho" w:hAnsi="Times New Roman" w:cs="Times New Roman"/>
          <w:bCs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MS Mincho" w:hAnsi="Times New Roman" w:cs="Times New Roman"/>
          <w:bCs/>
          <w:sz w:val="24"/>
          <w:szCs w:val="24"/>
        </w:rPr>
        <w:t>7 de abril de 2 021.</w:t>
      </w:r>
    </w:p>
    <w:p w:rsidR="00DD1479" w:rsidRDefault="00DD1479" w:rsidP="00DD14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D1479" w:rsidRDefault="00DD1479" w:rsidP="00DD14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D1479" w:rsidRDefault="00DD1479" w:rsidP="00DD14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DD1479" w:rsidRDefault="00DD1479" w:rsidP="00DD147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DD1479" w:rsidRDefault="00DD1479" w:rsidP="00DD14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DD1479" w:rsidRDefault="00DD1479" w:rsidP="00DD147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D1479" w:rsidRDefault="00DD1479" w:rsidP="00DD147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DD1479" w:rsidRDefault="00DD1479" w:rsidP="00DD14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Com os meus cordiais cumprimentos, elevo à apreciação dessa Edilidade o incluso Projeto de Lei que tem por objetivo autorizar o SAAE a conceder desconto de 40% na tarifa mínima de água, esgoto e tratamento de esgoto dos consumidores cadastrados na categoria COMERCIAL que consumirem até 5m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mês.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presente Projeto é de suma importância, pois o surgimento da pandemia de COVID-19 representa uma condição superveniente absolutamente imprevisível e de consequências gravíssimas, que afeta grande parte dos comerciantes, assim, necessária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atuação urgente do município em defesa da subsistência de muitos empregos.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presente Projeto de Lei traz com clareza os beneficiários e a condição dos descontos, tudo a fim de dar transparência no ato. 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desconto está restrito ao período de calamidade pública a ser mantido por decreto caso os efeitos da pandemia sejam estendidos com novos períodos de isolamento.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Para o presente Projeto de Lei realizou-se o estudo do impacto financeiro, através do histograma do exercício de 2020, na categoria comercial, e constatou-se que </w:t>
      </w:r>
      <w:r>
        <w:rPr>
          <w:rFonts w:ascii="Times New Roman" w:hAnsi="Times New Roman" w:cs="Times New Roman"/>
          <w:sz w:val="24"/>
          <w:szCs w:val="24"/>
        </w:rPr>
        <w:t>o faturamento médio mensal das ligações comerciais com consumos enquadrados na faixa de consumo mínimo (10m</w:t>
      </w:r>
      <w:proofErr w:type="gramStart"/>
      <w:r>
        <w:rPr>
          <w:rFonts w:ascii="Times New Roman" w:hAnsi="Times New Roman" w:cs="Times New Roman"/>
          <w:sz w:val="24"/>
          <w:szCs w:val="24"/>
        </w:rPr>
        <w:t>³</w:t>
      </w:r>
      <w:proofErr w:type="gramEnd"/>
      <w:r>
        <w:rPr>
          <w:rFonts w:ascii="Times New Roman" w:hAnsi="Times New Roman" w:cs="Times New Roman"/>
          <w:sz w:val="24"/>
          <w:szCs w:val="24"/>
        </w:rPr>
        <w:t>) alcançou o montante de R$ 178.622,30, sendo 1.926 ligações faturadas mensalmente, conforme o quadro abaixo: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010"/>
        <w:gridCol w:w="2526"/>
        <w:gridCol w:w="1843"/>
        <w:gridCol w:w="2552"/>
      </w:tblGrid>
      <w:tr w:rsidR="00DD1479" w:rsidTr="00DD1479">
        <w:trPr>
          <w:trHeight w:val="1088"/>
        </w:trPr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M³</w:t>
            </w:r>
          </w:p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Consumo 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Quantidade </w:t>
            </w:r>
          </w:p>
          <w:p w:rsidR="00DD1479" w:rsidRDefault="00DD147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Ligações </w:t>
            </w:r>
          </w:p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(Unidade)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Consumo</w:t>
            </w:r>
          </w:p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(M³)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</w:tr>
      <w:tr w:rsidR="00DD1479" w:rsidTr="00DD147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1926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6.854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R$178.622,30</w:t>
            </w:r>
          </w:p>
        </w:tc>
      </w:tr>
    </w:tbl>
    <w:p w:rsidR="00DD1479" w:rsidRDefault="00DD1479" w:rsidP="00DD147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Quando se aplica a nova faixa para consumos até 5m</w:t>
      </w:r>
      <w:proofErr w:type="gramStart"/>
      <w:r>
        <w:rPr>
          <w:rFonts w:ascii="Times New Roman" w:hAnsi="Times New Roman" w:cs="Times New Roman"/>
          <w:sz w:val="24"/>
          <w:szCs w:val="24"/>
        </w:rPr>
        <w:t>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projeta-se o faturamento das ligações considerando o desconto de 40%, obtém-se o faturamento médio mensal de R$ 125.018,63,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reduzindo assim o valor médio mensal em R$ 53.603,68, </w:t>
      </w:r>
      <w:r>
        <w:rPr>
          <w:rFonts w:ascii="Times New Roman" w:hAnsi="Times New Roman" w:cs="Times New Roman"/>
          <w:sz w:val="24"/>
          <w:szCs w:val="24"/>
        </w:rPr>
        <w:t xml:space="preserve">conforme quadro abaixo: </w:t>
      </w: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010"/>
        <w:gridCol w:w="2526"/>
        <w:gridCol w:w="1843"/>
        <w:gridCol w:w="2552"/>
      </w:tblGrid>
      <w:tr w:rsidR="00DD1479" w:rsidTr="00DD147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M³</w:t>
            </w:r>
          </w:p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Consumo 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Quantidade </w:t>
            </w:r>
          </w:p>
          <w:p w:rsidR="00DD1479" w:rsidRDefault="00DD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Ligações</w:t>
            </w:r>
          </w:p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(unidade)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Consumo </w:t>
            </w:r>
          </w:p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(M³)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D1479" w:rsidRDefault="00DD147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D1479" w:rsidTr="00DD147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R$ 80.405,51</w:t>
            </w:r>
          </w:p>
        </w:tc>
      </w:tr>
      <w:tr w:rsidR="00DD1479" w:rsidTr="00DD1479"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D1479" w:rsidRDefault="00DD1479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R$ 44.613,12</w:t>
            </w:r>
          </w:p>
        </w:tc>
      </w:tr>
    </w:tbl>
    <w:p w:rsidR="00DD1479" w:rsidRDefault="00DD1479" w:rsidP="00DD147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Neste cenário, seriam beneficiadas em média 75% das 1.926 ligações da categoria comercial que se enquadram na faixa de consumo mínimo atualmente. </w:t>
      </w: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Considerando o atual nível da arrecadação de receitas e despesas liquidadas da Autarquia, além do índice atual de inadimplência e os valores disponíveis em caixa, oriundos em sua grande parte do superávit financeiro ocorrido no exercício de 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redução média mensal projetada no faturamento não coloca em risco a execução orçamentária do exercício de 2021,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desde que adotada por período não superior a seis meses de faturamento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1479" w:rsidRDefault="00DD1479" w:rsidP="00DD14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Assim, o desconto não impactará nos custos atuais de água e esgoto.</w:t>
      </w: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Não há de falar em renúncia de receita, pois a Autarquia não estará abrindo mão de valores, uma vez que, não deixará de receber pelo serviço </w:t>
      </w:r>
      <w:proofErr w:type="gramStart"/>
      <w:r>
        <w:rPr>
          <w:rFonts w:ascii="Times New Roman" w:hAnsi="Times New Roman" w:cs="Times New Roman"/>
          <w:sz w:val="24"/>
          <w:szCs w:val="24"/>
        </w:rPr>
        <w:t>prestado, apenas na presente fase calamitosa</w:t>
      </w:r>
      <w:proofErr w:type="gramEnd"/>
      <w:r>
        <w:rPr>
          <w:rFonts w:ascii="Times New Roman" w:hAnsi="Times New Roman" w:cs="Times New Roman"/>
          <w:sz w:val="24"/>
          <w:szCs w:val="24"/>
        </w:rPr>
        <w:t>, passará a auferir um valor menor, pelo serviço efetivamente prestado. Nesse sentido inclusive já se manifestou a Agência Reguladora ARES-PCJ, a qual o SAAE é consorciado, na Resolução n. 382 de março de 2021, vejamos:</w:t>
      </w:r>
    </w:p>
    <w:p w:rsidR="00DD1479" w:rsidRDefault="00DD1479" w:rsidP="00DD1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479" w:rsidRDefault="00DD1479" w:rsidP="00DD147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“Dessa forma</w:t>
      </w:r>
      <w:proofErr w:type="gramEnd"/>
      <w:r>
        <w:rPr>
          <w:rFonts w:ascii="Times New Roman" w:hAnsi="Times New Roman" w:cs="Times New Roman"/>
          <w:sz w:val="24"/>
          <w:szCs w:val="24"/>
        </w:rPr>
        <w:t>, conclui-se que ao Chefe do Poder Executivo Municipal compete declarar a calamidade pública (ou Governador ou Presidente da República, em razão da extensão da calamidade), dando as diretrizes sobre a nova forma de arranjo dos serviços locais, podendo estipular sanções premiais, definir novos padrões de atendimentos à essencialidade dos serviços ou regime tarifário excepcional (contemplando isenções, descontos ou até mesmo a suspensão de reajustes).</w:t>
      </w:r>
    </w:p>
    <w:p w:rsidR="00DD1479" w:rsidRDefault="00DD1479" w:rsidP="00DD147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:rsidR="00DD1479" w:rsidRDefault="00DD1479" w:rsidP="00DD147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Tais arranjos financeiros, devidamente justificados e decorrentes de Decreto de calamidade pública, não são classificados como renúncia de receita, já que a previsão do art. 65 da Lei de Responsabilidade Fiscal (Lei Complementar nº 101/2000) traz regramento fiscal especial. Nos dizeres de Sérgio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Ciquera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Rossi, Secretário-Geral do Tribunal de Contas do Estado de São Paulo: “calamidade financeira não se confunde com calamidade pública, esta última amparada no ordenamento constitucional e legal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DD1479" w:rsidRDefault="00DD1479" w:rsidP="00DD147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Por fim, cumpre esclarecer que para que tal medida surta efeito nas faturas com vencimento no decorrer do mês de maio/2021, é necessário que a publicação da Lei seja realizada até o dia 17/04/2021, impreterivelmente, visto que no dia 19/04/2021 se inicia o ciclo de faturamento 05/2021 exatamente pela região central do município, onde se concentram as ligações da categoria comercial.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1479" w:rsidRDefault="00DD1479" w:rsidP="00DD1479">
      <w:pPr>
        <w:pStyle w:val="NormalWeb"/>
        <w:spacing w:before="0" w:beforeAutospacing="0" w:after="0" w:line="240" w:lineRule="auto"/>
        <w:ind w:firstLine="3828"/>
        <w:jc w:val="both"/>
      </w:pPr>
    </w:p>
    <w:p w:rsidR="00DD1479" w:rsidRDefault="00DD1479" w:rsidP="00DD1479">
      <w:pPr>
        <w:pStyle w:val="NormalWeb"/>
        <w:spacing w:before="0" w:beforeAutospacing="0" w:after="0" w:line="240" w:lineRule="auto"/>
        <w:ind w:firstLine="2127"/>
        <w:jc w:val="both"/>
      </w:pPr>
      <w:r>
        <w:lastRenderedPageBreak/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DD1479" w:rsidRDefault="00DD1479" w:rsidP="00DD1479">
      <w:pPr>
        <w:ind w:firstLine="7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1479" w:rsidRDefault="00DD1479" w:rsidP="00DD1479">
      <w:pPr>
        <w:pStyle w:val="TextosemFormatao"/>
        <w:ind w:firstLine="212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MS Mincho" w:hAnsi="Times New Roman" w:cs="Times New Roman"/>
          <w:bCs/>
          <w:sz w:val="24"/>
          <w:szCs w:val="24"/>
        </w:rPr>
        <w:t>espeitosamente,</w:t>
      </w:r>
    </w:p>
    <w:p w:rsidR="00DD1479" w:rsidRDefault="00DD1479" w:rsidP="00DD1479">
      <w:pPr>
        <w:pStyle w:val="Rodap"/>
        <w:ind w:firstLine="3480"/>
        <w:jc w:val="both"/>
      </w:pPr>
    </w:p>
    <w:p w:rsidR="00DD1479" w:rsidRDefault="00DD1479" w:rsidP="00DD1479">
      <w:pPr>
        <w:pStyle w:val="Rodap"/>
        <w:ind w:firstLine="3480"/>
        <w:jc w:val="both"/>
      </w:pPr>
    </w:p>
    <w:p w:rsidR="00DD1479" w:rsidRDefault="00DD1479" w:rsidP="00DD1479">
      <w:pPr>
        <w:pStyle w:val="Rodap"/>
        <w:ind w:firstLine="3480"/>
        <w:jc w:val="both"/>
      </w:pPr>
    </w:p>
    <w:p w:rsidR="00DD1479" w:rsidRDefault="00DD1479" w:rsidP="00DD1479">
      <w:pPr>
        <w:pStyle w:val="Rodap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DD1479" w:rsidRDefault="00DD1479" w:rsidP="00DD1479">
      <w:pPr>
        <w:pStyle w:val="Rodap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Prefeito Municipal</w:t>
      </w:r>
    </w:p>
    <w:p w:rsidR="00DD1479" w:rsidRDefault="00DD1479" w:rsidP="00DD1479">
      <w:pPr>
        <w:pStyle w:val="Rodap"/>
        <w:ind w:firstLine="708"/>
        <w:jc w:val="both"/>
      </w:pPr>
    </w:p>
    <w:p w:rsidR="00DD1479" w:rsidRDefault="00DD1479" w:rsidP="00DD1479">
      <w:pPr>
        <w:ind w:firstLine="70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D147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DD147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DD1479"/>
    <w:pPr>
      <w:tabs>
        <w:tab w:val="center" w:pos="4252"/>
        <w:tab w:val="right" w:pos="8504"/>
      </w:tabs>
      <w:suppressAutoHyphens/>
    </w:pPr>
    <w:rPr>
      <w:rFonts w:ascii="Calibri" w:eastAsia="Calibri" w:hAnsi="Calibri" w:cs="Calibri"/>
      <w:kern w:val="2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DD1479"/>
    <w:rPr>
      <w:rFonts w:ascii="Calibri" w:eastAsia="Calibri" w:hAnsi="Calibri" w:cs="Calibri"/>
      <w:kern w:val="2"/>
      <w:lang w:eastAsia="ar-SA"/>
    </w:rPr>
  </w:style>
  <w:style w:type="paragraph" w:styleId="TextosemFormatao">
    <w:name w:val="Plain Text"/>
    <w:basedOn w:val="Normal"/>
    <w:link w:val="TextosemFormataoChar"/>
    <w:semiHidden/>
    <w:unhideWhenUsed/>
    <w:rsid w:val="00DD147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D1479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2021-04-09T11:20:00Z</dcterms:modified>
</cp:coreProperties>
</file>