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01" w:rsidRDefault="00F20801">
      <w:pPr>
        <w:spacing w:line="360" w:lineRule="auto"/>
        <w:rPr>
          <w:rFonts w:ascii="Arial" w:eastAsia="Arial" w:hAnsi="Arial" w:cs="Arial"/>
          <w:b/>
          <w:sz w:val="24"/>
          <w:szCs w:val="24"/>
        </w:rPr>
      </w:pPr>
    </w:p>
    <w:p w:rsidR="00F20801" w:rsidRDefault="00497870">
      <w:pPr>
        <w:spacing w:line="360" w:lineRule="auto"/>
        <w:jc w:val="center"/>
        <w:rPr>
          <w:rFonts w:ascii="Arial" w:eastAsia="Arial" w:hAnsi="Arial" w:cs="Arial"/>
          <w:b/>
          <w:sz w:val="24"/>
          <w:szCs w:val="24"/>
        </w:rPr>
      </w:pPr>
      <w:r>
        <w:rPr>
          <w:rFonts w:ascii="Arial" w:eastAsia="Arial" w:hAnsi="Arial" w:cs="Arial"/>
          <w:b/>
          <w:sz w:val="24"/>
          <w:szCs w:val="24"/>
        </w:rPr>
        <w:t xml:space="preserve">PARECER </w:t>
      </w:r>
      <w:r w:rsidR="00E32D04">
        <w:rPr>
          <w:rFonts w:ascii="Arial" w:eastAsia="Arial" w:hAnsi="Arial" w:cs="Arial"/>
          <w:b/>
          <w:sz w:val="24"/>
          <w:szCs w:val="24"/>
        </w:rPr>
        <w:t xml:space="preserve">CONJUNTO </w:t>
      </w:r>
      <w:r>
        <w:rPr>
          <w:rFonts w:ascii="Arial" w:eastAsia="Arial" w:hAnsi="Arial" w:cs="Arial"/>
          <w:b/>
          <w:sz w:val="24"/>
          <w:szCs w:val="24"/>
        </w:rPr>
        <w:t>DA</w:t>
      </w:r>
      <w:r w:rsidR="00E32D04">
        <w:rPr>
          <w:rFonts w:ascii="Arial" w:eastAsia="Arial" w:hAnsi="Arial" w:cs="Arial"/>
          <w:b/>
          <w:sz w:val="24"/>
          <w:szCs w:val="24"/>
        </w:rPr>
        <w:t>S COMISSÕES</w:t>
      </w:r>
      <w:r>
        <w:rPr>
          <w:rFonts w:ascii="Arial" w:eastAsia="Arial" w:hAnsi="Arial" w:cs="Arial"/>
          <w:b/>
          <w:sz w:val="24"/>
          <w:szCs w:val="24"/>
        </w:rPr>
        <w:t xml:space="preserve"> DE JUSTIÇA E REDAÇÃO</w:t>
      </w:r>
      <w:r w:rsidR="00782C83">
        <w:rPr>
          <w:rFonts w:ascii="Arial" w:eastAsia="Arial" w:hAnsi="Arial" w:cs="Arial"/>
          <w:b/>
          <w:sz w:val="24"/>
          <w:szCs w:val="24"/>
        </w:rPr>
        <w:t>, FINANÇAS E ORÇAMENTO, E</w:t>
      </w:r>
      <w:r w:rsidR="00F1017D">
        <w:rPr>
          <w:rFonts w:ascii="Arial" w:eastAsia="Arial" w:hAnsi="Arial" w:cs="Arial"/>
          <w:b/>
          <w:sz w:val="24"/>
          <w:szCs w:val="24"/>
        </w:rPr>
        <w:t xml:space="preserve"> OBRAS, SERVIÇOS</w:t>
      </w:r>
      <w:r w:rsidR="00782C83">
        <w:rPr>
          <w:rFonts w:ascii="Arial" w:eastAsia="Arial" w:hAnsi="Arial" w:cs="Arial"/>
          <w:b/>
          <w:sz w:val="24"/>
          <w:szCs w:val="24"/>
        </w:rPr>
        <w:t xml:space="preserve"> PÚBLICOS E ATIVIDADES PRIVADAS</w:t>
      </w:r>
      <w:r w:rsidR="00E32D04">
        <w:rPr>
          <w:rFonts w:ascii="Arial" w:eastAsia="Arial" w:hAnsi="Arial" w:cs="Arial"/>
          <w:b/>
          <w:sz w:val="24"/>
          <w:szCs w:val="24"/>
        </w:rPr>
        <w:t xml:space="preserve"> </w:t>
      </w:r>
    </w:p>
    <w:p w:rsidR="00F20801" w:rsidRDefault="00F20801">
      <w:pPr>
        <w:spacing w:line="360" w:lineRule="auto"/>
        <w:rPr>
          <w:rFonts w:ascii="Arial" w:eastAsia="Arial" w:hAnsi="Arial" w:cs="Arial"/>
          <w:b/>
          <w:sz w:val="24"/>
          <w:szCs w:val="24"/>
        </w:rPr>
      </w:pPr>
    </w:p>
    <w:p w:rsidR="00F20801" w:rsidRDefault="00F20801">
      <w:pPr>
        <w:spacing w:line="360" w:lineRule="auto"/>
        <w:rPr>
          <w:rFonts w:ascii="Arial" w:eastAsia="Arial" w:hAnsi="Arial" w:cs="Arial"/>
          <w:b/>
          <w:sz w:val="24"/>
          <w:szCs w:val="24"/>
        </w:rPr>
      </w:pPr>
    </w:p>
    <w:p w:rsidR="00F20801" w:rsidRDefault="005043C4">
      <w:pPr>
        <w:spacing w:line="360" w:lineRule="auto"/>
        <w:rPr>
          <w:rFonts w:ascii="Arial" w:eastAsia="Arial" w:hAnsi="Arial" w:cs="Arial"/>
          <w:b/>
          <w:sz w:val="24"/>
          <w:szCs w:val="24"/>
        </w:rPr>
      </w:pPr>
      <w:r>
        <w:rPr>
          <w:rFonts w:ascii="Arial" w:eastAsia="Arial" w:hAnsi="Arial" w:cs="Arial"/>
          <w:b/>
          <w:sz w:val="24"/>
          <w:szCs w:val="24"/>
        </w:rPr>
        <w:t>Parecer n.º 10</w:t>
      </w:r>
      <w:r w:rsidR="002E27CE">
        <w:rPr>
          <w:rFonts w:ascii="Arial" w:eastAsia="Arial" w:hAnsi="Arial" w:cs="Arial"/>
          <w:b/>
          <w:sz w:val="24"/>
          <w:szCs w:val="24"/>
        </w:rPr>
        <w:t>/2</w:t>
      </w:r>
      <w:r w:rsidR="00497870">
        <w:rPr>
          <w:rFonts w:ascii="Arial" w:eastAsia="Arial" w:hAnsi="Arial" w:cs="Arial"/>
          <w:b/>
          <w:sz w:val="24"/>
          <w:szCs w:val="24"/>
        </w:rPr>
        <w:t>021</w:t>
      </w:r>
    </w:p>
    <w:p w:rsidR="00F20801" w:rsidRDefault="00457DA0">
      <w:pPr>
        <w:spacing w:line="360" w:lineRule="auto"/>
        <w:rPr>
          <w:rFonts w:ascii="Arial" w:eastAsia="Arial" w:hAnsi="Arial" w:cs="Arial"/>
          <w:b/>
          <w:sz w:val="24"/>
          <w:szCs w:val="24"/>
        </w:rPr>
      </w:pPr>
      <w:r>
        <w:rPr>
          <w:rFonts w:ascii="Arial" w:eastAsia="Arial" w:hAnsi="Arial" w:cs="Arial"/>
          <w:b/>
          <w:sz w:val="24"/>
          <w:szCs w:val="24"/>
        </w:rPr>
        <w:t>Projeto de Lei n.º 31</w:t>
      </w:r>
      <w:r w:rsidR="002E27CE">
        <w:rPr>
          <w:rFonts w:ascii="Arial" w:eastAsia="Arial" w:hAnsi="Arial" w:cs="Arial"/>
          <w:b/>
          <w:sz w:val="24"/>
          <w:szCs w:val="24"/>
        </w:rPr>
        <w:t xml:space="preserve"> de 2</w:t>
      </w:r>
      <w:r w:rsidR="00497870">
        <w:rPr>
          <w:rFonts w:ascii="Arial" w:eastAsia="Arial" w:hAnsi="Arial" w:cs="Arial"/>
          <w:b/>
          <w:sz w:val="24"/>
          <w:szCs w:val="24"/>
        </w:rPr>
        <w:t>021</w:t>
      </w:r>
    </w:p>
    <w:p w:rsidR="00F20801" w:rsidRDefault="00F20801">
      <w:pPr>
        <w:spacing w:line="360" w:lineRule="auto"/>
        <w:rPr>
          <w:rFonts w:ascii="Arial" w:eastAsia="Arial" w:hAnsi="Arial" w:cs="Arial"/>
          <w:b/>
          <w:sz w:val="24"/>
          <w:szCs w:val="24"/>
        </w:rPr>
      </w:pPr>
    </w:p>
    <w:p w:rsidR="00F20801" w:rsidRDefault="00F20801">
      <w:pPr>
        <w:spacing w:line="360" w:lineRule="auto"/>
        <w:rPr>
          <w:rFonts w:ascii="Arial" w:eastAsia="Arial" w:hAnsi="Arial" w:cs="Arial"/>
          <w:b/>
          <w:sz w:val="24"/>
          <w:szCs w:val="24"/>
        </w:rPr>
      </w:pPr>
    </w:p>
    <w:p w:rsidR="00F20801" w:rsidRDefault="00497870">
      <w:pPr>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t xml:space="preserve">Conforme determina o artigo 35 da Resolução n.º 276 de 09 de novembro de 2.010, a Comissão de Justiça e Redação </w:t>
      </w:r>
      <w:r w:rsidR="00E11E8A">
        <w:rPr>
          <w:rFonts w:ascii="Calibri" w:eastAsia="Calibri" w:hAnsi="Calibri" w:cs="Calibri"/>
          <w:sz w:val="26"/>
          <w:szCs w:val="26"/>
        </w:rPr>
        <w:t xml:space="preserve">da Câmara Municipal de Mogi Mirim </w:t>
      </w:r>
      <w:r>
        <w:rPr>
          <w:rFonts w:ascii="Calibri" w:eastAsia="Calibri" w:hAnsi="Calibri" w:cs="Calibri"/>
          <w:sz w:val="26"/>
          <w:szCs w:val="26"/>
        </w:rPr>
        <w:t xml:space="preserve">formaliza o presente </w:t>
      </w:r>
      <w:r>
        <w:rPr>
          <w:rFonts w:ascii="Calibri" w:eastAsia="Calibri" w:hAnsi="Calibri" w:cs="Calibri"/>
          <w:b/>
          <w:sz w:val="26"/>
          <w:szCs w:val="26"/>
        </w:rPr>
        <w:t>PARECER</w:t>
      </w:r>
      <w:r w:rsidR="00E11E8A">
        <w:rPr>
          <w:rFonts w:ascii="Calibri" w:eastAsia="Calibri" w:hAnsi="Calibri" w:cs="Calibri"/>
          <w:sz w:val="26"/>
          <w:szCs w:val="26"/>
        </w:rPr>
        <w:t xml:space="preserve">, consoante </w:t>
      </w:r>
      <w:r>
        <w:rPr>
          <w:rFonts w:ascii="Calibri" w:eastAsia="Calibri" w:hAnsi="Calibri" w:cs="Calibri"/>
          <w:sz w:val="26"/>
          <w:szCs w:val="26"/>
        </w:rPr>
        <w:t>motivos de fato e de direito a seguir expostos:</w:t>
      </w:r>
    </w:p>
    <w:p w:rsidR="00F20801" w:rsidRDefault="00F20801">
      <w:pPr>
        <w:spacing w:line="276" w:lineRule="auto"/>
        <w:jc w:val="both"/>
        <w:rPr>
          <w:rFonts w:ascii="Calibri" w:eastAsia="Calibri" w:hAnsi="Calibri" w:cs="Calibri"/>
          <w:sz w:val="26"/>
          <w:szCs w:val="26"/>
        </w:rPr>
      </w:pPr>
    </w:p>
    <w:p w:rsidR="00F20801" w:rsidRDefault="00497870">
      <w:pPr>
        <w:spacing w:line="276" w:lineRule="auto"/>
        <w:jc w:val="both"/>
        <w:rPr>
          <w:rFonts w:ascii="Calibri" w:eastAsia="Calibri" w:hAnsi="Calibri" w:cs="Calibri"/>
          <w:b/>
          <w:sz w:val="26"/>
          <w:szCs w:val="26"/>
        </w:rPr>
      </w:pPr>
      <w:r>
        <w:rPr>
          <w:rFonts w:ascii="Calibri" w:eastAsia="Calibri" w:hAnsi="Calibri" w:cs="Calibri"/>
          <w:b/>
          <w:sz w:val="26"/>
          <w:szCs w:val="26"/>
        </w:rPr>
        <w:t>I. Exposição da Matéria</w:t>
      </w:r>
    </w:p>
    <w:p w:rsidR="00F20801" w:rsidRDefault="00F20801">
      <w:pPr>
        <w:spacing w:line="276" w:lineRule="auto"/>
        <w:ind w:firstLine="709"/>
        <w:jc w:val="both"/>
        <w:rPr>
          <w:rFonts w:ascii="Calibri" w:eastAsia="Calibri" w:hAnsi="Calibri" w:cs="Calibri"/>
          <w:sz w:val="26"/>
          <w:szCs w:val="26"/>
        </w:rPr>
      </w:pPr>
    </w:p>
    <w:p w:rsidR="00F20801" w:rsidRDefault="00497870">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O </w:t>
      </w:r>
      <w:r w:rsidR="00457DA0">
        <w:rPr>
          <w:rFonts w:ascii="Calibri" w:eastAsia="Calibri" w:hAnsi="Calibri" w:cs="Calibri"/>
          <w:sz w:val="26"/>
          <w:szCs w:val="26"/>
        </w:rPr>
        <w:t>Projeto de Lei n°31</w:t>
      </w:r>
      <w:r w:rsidR="00957A05">
        <w:rPr>
          <w:rFonts w:ascii="Calibri" w:eastAsia="Calibri" w:hAnsi="Calibri" w:cs="Calibri"/>
          <w:sz w:val="26"/>
          <w:szCs w:val="26"/>
        </w:rPr>
        <w:t xml:space="preserve">/21 encaminhado para análise desta Casa é de autoria do Chefe do Poder Executivo Municipal, o senhor prefeito Paulo de Oliveira e Silva, e versa sobre a </w:t>
      </w:r>
      <w:r w:rsidR="00F1017D">
        <w:rPr>
          <w:rFonts w:ascii="Calibri" w:eastAsia="Calibri" w:hAnsi="Calibri" w:cs="Calibri"/>
          <w:sz w:val="26"/>
          <w:szCs w:val="26"/>
        </w:rPr>
        <w:t>autorização ao S</w:t>
      </w:r>
      <w:r w:rsidR="00F1017D" w:rsidRPr="00F1017D">
        <w:rPr>
          <w:rFonts w:ascii="Calibri" w:eastAsia="Calibri" w:hAnsi="Calibri" w:cs="Calibri"/>
          <w:sz w:val="26"/>
          <w:szCs w:val="26"/>
        </w:rPr>
        <w:t xml:space="preserve">erviço </w:t>
      </w:r>
      <w:r w:rsidR="00F1017D">
        <w:rPr>
          <w:rFonts w:ascii="Calibri" w:eastAsia="Calibri" w:hAnsi="Calibri" w:cs="Calibri"/>
          <w:sz w:val="26"/>
          <w:szCs w:val="26"/>
        </w:rPr>
        <w:t>Autônomo de Á</w:t>
      </w:r>
      <w:r w:rsidR="00F1017D" w:rsidRPr="00F1017D">
        <w:rPr>
          <w:rFonts w:ascii="Calibri" w:eastAsia="Calibri" w:hAnsi="Calibri" w:cs="Calibri"/>
          <w:sz w:val="26"/>
          <w:szCs w:val="26"/>
        </w:rPr>
        <w:t xml:space="preserve">gua e </w:t>
      </w:r>
      <w:r w:rsidR="00F1017D">
        <w:rPr>
          <w:rFonts w:ascii="Calibri" w:eastAsia="Calibri" w:hAnsi="Calibri" w:cs="Calibri"/>
          <w:sz w:val="26"/>
          <w:szCs w:val="26"/>
        </w:rPr>
        <w:t>Esgotos de Mogi Mirim (SAAE</w:t>
      </w:r>
      <w:r w:rsidR="00F1017D" w:rsidRPr="00F1017D">
        <w:rPr>
          <w:rFonts w:ascii="Calibri" w:eastAsia="Calibri" w:hAnsi="Calibri" w:cs="Calibri"/>
          <w:sz w:val="26"/>
          <w:szCs w:val="26"/>
        </w:rPr>
        <w:t xml:space="preserve">) </w:t>
      </w:r>
      <w:r w:rsidR="00F1017D">
        <w:rPr>
          <w:rFonts w:ascii="Calibri" w:eastAsia="Calibri" w:hAnsi="Calibri" w:cs="Calibri"/>
          <w:sz w:val="26"/>
          <w:szCs w:val="26"/>
        </w:rPr>
        <w:t>par</w:t>
      </w:r>
      <w:r w:rsidR="00F1017D" w:rsidRPr="00F1017D">
        <w:rPr>
          <w:rFonts w:ascii="Calibri" w:eastAsia="Calibri" w:hAnsi="Calibri" w:cs="Calibri"/>
          <w:sz w:val="26"/>
          <w:szCs w:val="26"/>
        </w:rPr>
        <w:t>a conceder desconto nas faturas de água, das categorias comerciais.</w:t>
      </w:r>
    </w:p>
    <w:p w:rsidR="00F20801" w:rsidRDefault="00497870">
      <w:pPr>
        <w:spacing w:line="276" w:lineRule="auto"/>
        <w:jc w:val="both"/>
        <w:rPr>
          <w:rFonts w:ascii="Calibri" w:eastAsia="Calibri" w:hAnsi="Calibri" w:cs="Calibri"/>
          <w:sz w:val="26"/>
          <w:szCs w:val="26"/>
        </w:rPr>
      </w:pPr>
      <w:r>
        <w:rPr>
          <w:rFonts w:ascii="Calibri" w:eastAsia="Calibri" w:hAnsi="Calibri" w:cs="Calibri"/>
          <w:sz w:val="26"/>
          <w:szCs w:val="26"/>
        </w:rPr>
        <w:tab/>
      </w:r>
    </w:p>
    <w:p w:rsidR="007248A4" w:rsidRDefault="00F1017D">
      <w:pPr>
        <w:spacing w:line="276" w:lineRule="auto"/>
        <w:ind w:firstLine="709"/>
        <w:jc w:val="both"/>
        <w:rPr>
          <w:rFonts w:ascii="Calibri" w:eastAsia="Calibri" w:hAnsi="Calibri" w:cs="Calibri"/>
          <w:sz w:val="26"/>
          <w:szCs w:val="26"/>
        </w:rPr>
      </w:pPr>
      <w:r>
        <w:rPr>
          <w:rFonts w:ascii="Calibri" w:eastAsia="Calibri" w:hAnsi="Calibri" w:cs="Calibri"/>
          <w:sz w:val="26"/>
          <w:szCs w:val="26"/>
        </w:rPr>
        <w:t>Apesar de grande impacto social, o projeto apresentado tem texto enxuto e em seu único artigo explicativo, delimita que as condições benéficas nas tarifas de água, esgoto e tratamento de esgoto alcançarão a ordem de 40% do valor mensal àqueles usuários inscritos na categoria consumidor comercial</w:t>
      </w:r>
      <w:r w:rsidR="000C7AD4">
        <w:rPr>
          <w:rFonts w:ascii="Calibri" w:eastAsia="Calibri" w:hAnsi="Calibri" w:cs="Calibri"/>
          <w:sz w:val="26"/>
          <w:szCs w:val="26"/>
        </w:rPr>
        <w:t>, desde que consumam até 5m³ dos recursos.</w:t>
      </w:r>
    </w:p>
    <w:p w:rsidR="000C7AD4" w:rsidRDefault="000C7AD4">
      <w:pPr>
        <w:spacing w:line="276" w:lineRule="auto"/>
        <w:ind w:firstLine="709"/>
        <w:jc w:val="both"/>
        <w:rPr>
          <w:rFonts w:ascii="Calibri" w:eastAsia="Calibri" w:hAnsi="Calibri" w:cs="Calibri"/>
          <w:sz w:val="26"/>
          <w:szCs w:val="26"/>
        </w:rPr>
      </w:pPr>
    </w:p>
    <w:p w:rsidR="000C7AD4" w:rsidRDefault="000C7AD4" w:rsidP="00521F3B">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Além disso, no mesmo artigo primeiro, a vigência </w:t>
      </w:r>
      <w:r w:rsidR="004E6F51">
        <w:rPr>
          <w:rFonts w:ascii="Calibri" w:eastAsia="Calibri" w:hAnsi="Calibri" w:cs="Calibri"/>
          <w:sz w:val="26"/>
          <w:szCs w:val="26"/>
        </w:rPr>
        <w:t>da Lei fica condicionada ao período vigente de calamidade pública</w:t>
      </w:r>
      <w:r w:rsidR="00521F3B">
        <w:rPr>
          <w:rFonts w:ascii="Calibri" w:eastAsia="Calibri" w:hAnsi="Calibri" w:cs="Calibri"/>
          <w:sz w:val="26"/>
          <w:szCs w:val="26"/>
        </w:rPr>
        <w:t xml:space="preserve"> em Mogi Mirim, estabelecido pelo Decreto 8.377/21 até 31 de dezembro de 2021, e condiciona sua validação ao respaldo técnico da Resolução n° 382 da </w:t>
      </w:r>
      <w:r w:rsidR="00521F3B" w:rsidRPr="00521F3B">
        <w:rPr>
          <w:rFonts w:ascii="Calibri" w:eastAsia="Calibri" w:hAnsi="Calibri" w:cs="Calibri"/>
          <w:sz w:val="26"/>
          <w:szCs w:val="26"/>
        </w:rPr>
        <w:t>Agência Regulad</w:t>
      </w:r>
      <w:r w:rsidR="00521F3B">
        <w:rPr>
          <w:rFonts w:ascii="Calibri" w:eastAsia="Calibri" w:hAnsi="Calibri" w:cs="Calibri"/>
          <w:sz w:val="26"/>
          <w:szCs w:val="26"/>
        </w:rPr>
        <w:t>ora dos Serviços de Saneamento d</w:t>
      </w:r>
      <w:r w:rsidR="00521F3B" w:rsidRPr="00521F3B">
        <w:rPr>
          <w:rFonts w:ascii="Calibri" w:eastAsia="Calibri" w:hAnsi="Calibri" w:cs="Calibri"/>
          <w:sz w:val="26"/>
          <w:szCs w:val="26"/>
        </w:rPr>
        <w:t>as</w:t>
      </w:r>
      <w:r w:rsidR="00521F3B">
        <w:rPr>
          <w:rFonts w:ascii="Calibri" w:eastAsia="Calibri" w:hAnsi="Calibri" w:cs="Calibri"/>
          <w:sz w:val="26"/>
          <w:szCs w:val="26"/>
        </w:rPr>
        <w:t xml:space="preserve"> </w:t>
      </w:r>
      <w:r w:rsidR="00521F3B" w:rsidRPr="00521F3B">
        <w:rPr>
          <w:rFonts w:ascii="Calibri" w:eastAsia="Calibri" w:hAnsi="Calibri" w:cs="Calibri"/>
          <w:sz w:val="26"/>
          <w:szCs w:val="26"/>
        </w:rPr>
        <w:t>Bacias</w:t>
      </w:r>
      <w:r w:rsidR="00521F3B">
        <w:rPr>
          <w:rFonts w:ascii="Calibri" w:eastAsia="Calibri" w:hAnsi="Calibri" w:cs="Calibri"/>
          <w:sz w:val="26"/>
          <w:szCs w:val="26"/>
        </w:rPr>
        <w:t xml:space="preserve"> dos Rios Piracicaba, Capivari e Jundiaí (ARES-PCJ</w:t>
      </w:r>
      <w:r w:rsidR="00521F3B" w:rsidRPr="00521F3B">
        <w:rPr>
          <w:rFonts w:ascii="Calibri" w:eastAsia="Calibri" w:hAnsi="Calibri" w:cs="Calibri"/>
          <w:sz w:val="26"/>
          <w:szCs w:val="26"/>
        </w:rPr>
        <w:t>),</w:t>
      </w:r>
      <w:r w:rsidR="00521F3B">
        <w:rPr>
          <w:rFonts w:ascii="Calibri" w:eastAsia="Calibri" w:hAnsi="Calibri" w:cs="Calibri"/>
          <w:sz w:val="26"/>
          <w:szCs w:val="26"/>
        </w:rPr>
        <w:t xml:space="preserve"> instituição consorciada ao Município pela Lei 5.030/2010, responsável pela regulação e fiscalização dos serviços públicos de saneamento básico na cidade.</w:t>
      </w:r>
    </w:p>
    <w:p w:rsidR="00521F3B" w:rsidRDefault="00521F3B" w:rsidP="00521F3B">
      <w:pPr>
        <w:spacing w:line="276" w:lineRule="auto"/>
        <w:ind w:firstLine="709"/>
        <w:jc w:val="both"/>
        <w:rPr>
          <w:rFonts w:ascii="Calibri" w:eastAsia="Calibri" w:hAnsi="Calibri" w:cs="Calibri"/>
          <w:sz w:val="26"/>
          <w:szCs w:val="26"/>
        </w:rPr>
      </w:pPr>
    </w:p>
    <w:p w:rsidR="00521F3B" w:rsidRDefault="00521F3B" w:rsidP="00521F3B">
      <w:pPr>
        <w:spacing w:line="276" w:lineRule="auto"/>
        <w:ind w:firstLine="709"/>
        <w:jc w:val="both"/>
        <w:rPr>
          <w:rFonts w:ascii="Calibri" w:eastAsia="Calibri" w:hAnsi="Calibri" w:cs="Calibri"/>
          <w:sz w:val="26"/>
          <w:szCs w:val="26"/>
        </w:rPr>
      </w:pPr>
      <w:r>
        <w:rPr>
          <w:rFonts w:ascii="Calibri" w:eastAsia="Calibri" w:hAnsi="Calibri" w:cs="Calibri"/>
          <w:sz w:val="26"/>
          <w:szCs w:val="26"/>
        </w:rPr>
        <w:lastRenderedPageBreak/>
        <w:t xml:space="preserve">A referida Resolução indica em </w:t>
      </w:r>
      <w:r w:rsidR="00AF7451">
        <w:rPr>
          <w:rFonts w:ascii="Calibri" w:eastAsia="Calibri" w:hAnsi="Calibri" w:cs="Calibri"/>
          <w:sz w:val="26"/>
          <w:szCs w:val="26"/>
        </w:rPr>
        <w:t>seu capítulo II que os municípios podem exercer suas prerrogativas de titularidade e emitirem isenção de tarifas de água e esgoto a categorias, desde que com a decretação do Estado de Calamidade.</w:t>
      </w:r>
    </w:p>
    <w:p w:rsidR="00AF7451" w:rsidRDefault="00AF7451" w:rsidP="00521F3B">
      <w:pPr>
        <w:spacing w:line="276" w:lineRule="auto"/>
        <w:ind w:firstLine="709"/>
        <w:jc w:val="both"/>
        <w:rPr>
          <w:rFonts w:ascii="Calibri" w:eastAsia="Calibri" w:hAnsi="Calibri" w:cs="Calibri"/>
          <w:sz w:val="26"/>
          <w:szCs w:val="26"/>
        </w:rPr>
      </w:pPr>
    </w:p>
    <w:p w:rsidR="00AF7451" w:rsidRDefault="00AF7451" w:rsidP="00521F3B">
      <w:pPr>
        <w:spacing w:line="276" w:lineRule="auto"/>
        <w:ind w:firstLine="709"/>
        <w:jc w:val="both"/>
        <w:rPr>
          <w:rFonts w:ascii="Calibri" w:eastAsia="Calibri" w:hAnsi="Calibri" w:cs="Calibri"/>
          <w:sz w:val="26"/>
          <w:szCs w:val="26"/>
        </w:rPr>
      </w:pPr>
      <w:r>
        <w:rPr>
          <w:rFonts w:ascii="Calibri" w:eastAsia="Calibri" w:hAnsi="Calibri" w:cs="Calibri"/>
          <w:sz w:val="26"/>
          <w:szCs w:val="26"/>
        </w:rPr>
        <w:t>Cabe aqui destacar que, não obstante haja a estipulação em resoluções técnicas, nada mais são esses documentos que garantidores de ações a serem definidas pela Administração Municipal, com a devida conferência de responsabilidades aos representantes eleitos.</w:t>
      </w:r>
    </w:p>
    <w:p w:rsidR="00AF7451" w:rsidRDefault="00AF7451" w:rsidP="00521F3B">
      <w:pPr>
        <w:spacing w:line="276" w:lineRule="auto"/>
        <w:ind w:firstLine="709"/>
        <w:jc w:val="both"/>
        <w:rPr>
          <w:rFonts w:ascii="Calibri" w:eastAsia="Calibri" w:hAnsi="Calibri" w:cs="Calibri"/>
          <w:sz w:val="26"/>
          <w:szCs w:val="26"/>
        </w:rPr>
      </w:pPr>
    </w:p>
    <w:p w:rsidR="00AF7451" w:rsidRDefault="00AF7451" w:rsidP="00521F3B">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Diante da ponderação técnica na área de saneamento, entende-se que, mediante decretação de estado de calamidade, considerando a excepcionalidade </w:t>
      </w:r>
      <w:r w:rsidR="00784004">
        <w:rPr>
          <w:rFonts w:ascii="Calibri" w:eastAsia="Calibri" w:hAnsi="Calibri" w:cs="Calibri"/>
          <w:sz w:val="26"/>
          <w:szCs w:val="26"/>
        </w:rPr>
        <w:t>momentânea decorrente da pandemia da Covid-19, há a prerrogativa ao Executivo local – como aqui ocorre – buscar a aplicação de tarifa remissiva ao grupo social dos comerciantes, gravemente afetados com a suspensão das atividades durante o isolamento social.</w:t>
      </w:r>
    </w:p>
    <w:p w:rsidR="00784004" w:rsidRDefault="00784004" w:rsidP="00521F3B">
      <w:pPr>
        <w:spacing w:line="276" w:lineRule="auto"/>
        <w:ind w:firstLine="709"/>
        <w:jc w:val="both"/>
        <w:rPr>
          <w:rFonts w:ascii="Calibri" w:eastAsia="Calibri" w:hAnsi="Calibri" w:cs="Calibri"/>
          <w:sz w:val="26"/>
          <w:szCs w:val="26"/>
        </w:rPr>
      </w:pPr>
    </w:p>
    <w:p w:rsidR="00784004" w:rsidRDefault="00784004" w:rsidP="00521F3B">
      <w:pPr>
        <w:spacing w:line="276" w:lineRule="auto"/>
        <w:ind w:firstLine="709"/>
        <w:jc w:val="both"/>
        <w:rPr>
          <w:rFonts w:ascii="Calibri" w:eastAsia="Calibri" w:hAnsi="Calibri" w:cs="Calibri"/>
          <w:sz w:val="26"/>
          <w:szCs w:val="26"/>
        </w:rPr>
      </w:pPr>
      <w:r>
        <w:rPr>
          <w:rFonts w:ascii="Calibri" w:eastAsia="Calibri" w:hAnsi="Calibri" w:cs="Calibri"/>
          <w:sz w:val="26"/>
          <w:szCs w:val="26"/>
        </w:rPr>
        <w:t>Lavrada essa possibilidade, é necessário que sejam levados em consideração dois fatores primordiais à admissibilidade desta Lei: a eventual renúncia de receitas e a eficácia do decreto de calamidade pública em âmbito municipal.</w:t>
      </w:r>
    </w:p>
    <w:p w:rsidR="00784004" w:rsidRDefault="00784004" w:rsidP="00521F3B">
      <w:pPr>
        <w:spacing w:line="276" w:lineRule="auto"/>
        <w:ind w:firstLine="709"/>
        <w:jc w:val="both"/>
        <w:rPr>
          <w:rFonts w:ascii="Calibri" w:eastAsia="Calibri" w:hAnsi="Calibri" w:cs="Calibri"/>
          <w:sz w:val="26"/>
          <w:szCs w:val="26"/>
        </w:rPr>
      </w:pPr>
    </w:p>
    <w:p w:rsidR="00900B39" w:rsidRDefault="00784004" w:rsidP="00900B39">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Quanto ao primeiro item, </w:t>
      </w:r>
      <w:r w:rsidR="0000202F">
        <w:rPr>
          <w:rFonts w:ascii="Calibri" w:eastAsia="Calibri" w:hAnsi="Calibri" w:cs="Calibri"/>
          <w:sz w:val="26"/>
          <w:szCs w:val="26"/>
        </w:rPr>
        <w:t>a Lei Complementar 101/01, a chamada Lei de Responsabilidade Fiscal (LRF), dispõe em seu</w:t>
      </w:r>
      <w:r w:rsidR="00900B39">
        <w:rPr>
          <w:rFonts w:ascii="Calibri" w:eastAsia="Calibri" w:hAnsi="Calibri" w:cs="Calibri"/>
          <w:sz w:val="26"/>
          <w:szCs w:val="26"/>
        </w:rPr>
        <w:t xml:space="preserve"> Art. 14 que os atributos a serem seguidos pelo ente que desejar conceder benefício de natureza tributário devem ser, ao menos, um dos que se segue: </w:t>
      </w:r>
    </w:p>
    <w:p w:rsidR="00900B39" w:rsidRPr="00900B39" w:rsidRDefault="00900B39" w:rsidP="00900B39">
      <w:pPr>
        <w:spacing w:line="276" w:lineRule="auto"/>
        <w:ind w:firstLine="709"/>
        <w:jc w:val="both"/>
        <w:rPr>
          <w:rFonts w:ascii="Calibri" w:eastAsia="Calibri" w:hAnsi="Calibri" w:cs="Calibri"/>
          <w:i/>
          <w:sz w:val="26"/>
          <w:szCs w:val="26"/>
        </w:rPr>
      </w:pPr>
      <w:r w:rsidRPr="00900B39">
        <w:rPr>
          <w:rFonts w:ascii="Calibri" w:eastAsia="Calibri" w:hAnsi="Calibri" w:cs="Calibri"/>
          <w:i/>
          <w:sz w:val="26"/>
          <w:szCs w:val="26"/>
        </w:rPr>
        <w:t>I - demonstração pelo proponente de que a renúncia foi considerada na estimativa de receita da lei orçamentária, na forma do art. 12, e de que não afetará as metas de resultados fiscais previstas no anexo próprio da lei de diretrizes orçamentárias;</w:t>
      </w:r>
    </w:p>
    <w:p w:rsidR="00900B39" w:rsidRPr="00900B39" w:rsidRDefault="00900B39" w:rsidP="00900B39">
      <w:pPr>
        <w:spacing w:line="276" w:lineRule="auto"/>
        <w:ind w:firstLine="709"/>
        <w:jc w:val="both"/>
        <w:rPr>
          <w:rFonts w:ascii="Calibri" w:eastAsia="Calibri" w:hAnsi="Calibri" w:cs="Calibri"/>
          <w:i/>
          <w:sz w:val="26"/>
          <w:szCs w:val="26"/>
        </w:rPr>
      </w:pPr>
    </w:p>
    <w:p w:rsidR="00784004" w:rsidRDefault="00900B39" w:rsidP="00900B39">
      <w:pPr>
        <w:spacing w:line="276" w:lineRule="auto"/>
        <w:ind w:firstLine="709"/>
        <w:jc w:val="both"/>
        <w:rPr>
          <w:rFonts w:ascii="Calibri" w:eastAsia="Calibri" w:hAnsi="Calibri" w:cs="Calibri"/>
          <w:i/>
          <w:sz w:val="26"/>
          <w:szCs w:val="26"/>
        </w:rPr>
      </w:pPr>
      <w:r w:rsidRPr="00900B39">
        <w:rPr>
          <w:rFonts w:ascii="Calibri" w:eastAsia="Calibri" w:hAnsi="Calibri" w:cs="Calibri"/>
          <w:i/>
          <w:sz w:val="26"/>
          <w:szCs w:val="26"/>
        </w:rPr>
        <w:t>II - estar acompanhada de medidas de compensação, no período mencionado no caput, por meio do aumento de receita, proveniente da elevação de alíquotas, ampliação da base de cálculo, majoração ou criação de tributo ou contribuição.</w:t>
      </w:r>
    </w:p>
    <w:p w:rsidR="00900B39" w:rsidRDefault="00900B39" w:rsidP="00900B39">
      <w:pPr>
        <w:spacing w:line="276" w:lineRule="auto"/>
        <w:ind w:firstLine="709"/>
        <w:jc w:val="both"/>
        <w:rPr>
          <w:rFonts w:ascii="Calibri" w:eastAsia="Calibri" w:hAnsi="Calibri" w:cs="Calibri"/>
          <w:i/>
          <w:sz w:val="26"/>
          <w:szCs w:val="26"/>
        </w:rPr>
      </w:pPr>
    </w:p>
    <w:p w:rsidR="00900B39" w:rsidRDefault="00900B39" w:rsidP="00900B39">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Dentro dos limites possíveis, o desconto ofertado obedece </w:t>
      </w:r>
      <w:r w:rsidR="00542E35">
        <w:rPr>
          <w:rFonts w:ascii="Calibri" w:eastAsia="Calibri" w:hAnsi="Calibri" w:cs="Calibri"/>
          <w:sz w:val="26"/>
          <w:szCs w:val="26"/>
        </w:rPr>
        <w:t xml:space="preserve">as condições do primeiro parágrafo, haja visto que, diante da revisão contábil com expectativas de inadimplência e o superávit orçamentário restante ao Orçamento de 2020, a autarquia possui condições financeiras para aplicação do projeto, desde que com vigência máxima </w:t>
      </w:r>
      <w:r w:rsidR="00542E35">
        <w:rPr>
          <w:rFonts w:ascii="Calibri" w:eastAsia="Calibri" w:hAnsi="Calibri" w:cs="Calibri"/>
          <w:sz w:val="26"/>
          <w:szCs w:val="26"/>
        </w:rPr>
        <w:lastRenderedPageBreak/>
        <w:t xml:space="preserve">de até seis ciclos financeiros, o que custaria aos cofres do </w:t>
      </w:r>
      <w:r w:rsidR="00FF307C">
        <w:rPr>
          <w:rFonts w:ascii="Calibri" w:eastAsia="Calibri" w:hAnsi="Calibri" w:cs="Calibri"/>
          <w:sz w:val="26"/>
          <w:szCs w:val="26"/>
        </w:rPr>
        <w:t xml:space="preserve">SAAE </w:t>
      </w:r>
      <w:r w:rsidR="00542E35">
        <w:rPr>
          <w:rFonts w:ascii="Calibri" w:eastAsia="Calibri" w:hAnsi="Calibri" w:cs="Calibri"/>
          <w:sz w:val="26"/>
          <w:szCs w:val="26"/>
        </w:rPr>
        <w:t>cerca de R$350.000,00</w:t>
      </w:r>
      <w:r w:rsidR="00FF307C">
        <w:rPr>
          <w:rFonts w:ascii="Calibri" w:eastAsia="Calibri" w:hAnsi="Calibri" w:cs="Calibri"/>
          <w:sz w:val="26"/>
          <w:szCs w:val="26"/>
        </w:rPr>
        <w:t>. Deste modo, a vigência para o benefício estipulada na Lei, até o fim do ano, deve ser revisada para alcançar até o mês de outubro (ou delimitar um arranjo no calendário para que o benefício se inicie a partir de julho).</w:t>
      </w:r>
    </w:p>
    <w:p w:rsidR="00FF307C" w:rsidRDefault="00FF307C" w:rsidP="00900B39">
      <w:pPr>
        <w:spacing w:line="276" w:lineRule="auto"/>
        <w:ind w:firstLine="709"/>
        <w:jc w:val="both"/>
        <w:rPr>
          <w:rFonts w:ascii="Calibri" w:eastAsia="Calibri" w:hAnsi="Calibri" w:cs="Calibri"/>
          <w:sz w:val="26"/>
          <w:szCs w:val="26"/>
        </w:rPr>
      </w:pPr>
    </w:p>
    <w:p w:rsidR="00FF307C" w:rsidRDefault="00FF307C" w:rsidP="00900B39">
      <w:pPr>
        <w:spacing w:line="276" w:lineRule="auto"/>
        <w:ind w:firstLine="709"/>
        <w:jc w:val="both"/>
        <w:rPr>
          <w:rFonts w:ascii="Calibri" w:eastAsia="Calibri" w:hAnsi="Calibri" w:cs="Calibri"/>
          <w:sz w:val="26"/>
          <w:szCs w:val="26"/>
        </w:rPr>
      </w:pPr>
      <w:r>
        <w:rPr>
          <w:rFonts w:ascii="Calibri" w:eastAsia="Calibri" w:hAnsi="Calibri" w:cs="Calibri"/>
          <w:sz w:val="26"/>
          <w:szCs w:val="26"/>
        </w:rPr>
        <w:t>Tal entendimento pode ser deixado de lado se, argumentado o estado de calamidade pública, seja autorizado ao Município abdicar das condições financeiras responsáveis. No entanto, abordando já aqui o segundo tópico essencial para aplicação da medida, embora o Município tenha decretado o Estado de Calamidade Pública, o valor da decisão somente passa a ocorrer após aprovação da Assembleia Legislativa do Estado de São Paulo (ALESP), fato que ainda não ocorreu.</w:t>
      </w:r>
    </w:p>
    <w:p w:rsidR="00111F9C" w:rsidRDefault="00111F9C" w:rsidP="00FF307C">
      <w:pPr>
        <w:spacing w:line="276" w:lineRule="auto"/>
        <w:jc w:val="both"/>
        <w:rPr>
          <w:rFonts w:ascii="Calibri" w:eastAsia="Calibri" w:hAnsi="Calibri" w:cs="Calibri"/>
          <w:sz w:val="26"/>
          <w:szCs w:val="26"/>
        </w:rPr>
      </w:pPr>
    </w:p>
    <w:p w:rsidR="00750352" w:rsidRDefault="00750352" w:rsidP="00FF307C">
      <w:pPr>
        <w:spacing w:line="276" w:lineRule="auto"/>
        <w:jc w:val="both"/>
        <w:rPr>
          <w:rFonts w:ascii="Calibri" w:eastAsia="Calibri" w:hAnsi="Calibri" w:cs="Calibri"/>
          <w:sz w:val="26"/>
          <w:szCs w:val="26"/>
        </w:rPr>
      </w:pPr>
      <w:r>
        <w:rPr>
          <w:rFonts w:ascii="Calibri" w:eastAsia="Calibri" w:hAnsi="Calibri" w:cs="Calibri"/>
          <w:sz w:val="26"/>
          <w:szCs w:val="26"/>
        </w:rPr>
        <w:tab/>
        <w:t>Ora, verifica-se então um impasse para a efetivação desse direito que se busca promover à categoria comercial na redução tarifária, ganhando contornos de emergência especialmente no atual estágio pandêmico</w:t>
      </w:r>
      <w:r w:rsidR="00CD3072">
        <w:rPr>
          <w:rFonts w:ascii="Calibri" w:eastAsia="Calibri" w:hAnsi="Calibri" w:cs="Calibri"/>
          <w:sz w:val="26"/>
          <w:szCs w:val="26"/>
        </w:rPr>
        <w:t>. Para que a PL 31</w:t>
      </w:r>
      <w:r>
        <w:rPr>
          <w:rFonts w:ascii="Calibri" w:eastAsia="Calibri" w:hAnsi="Calibri" w:cs="Calibri"/>
          <w:sz w:val="26"/>
          <w:szCs w:val="26"/>
        </w:rPr>
        <w:t>/21 analisado neste parecer apresente a necessária constitucionalidade, deve atender aos requisitos da Lei Complementar 101/01 e às normativas da Resolução n° 382.</w:t>
      </w:r>
    </w:p>
    <w:p w:rsidR="00750352" w:rsidRDefault="00750352" w:rsidP="00FF307C">
      <w:pPr>
        <w:spacing w:line="276" w:lineRule="auto"/>
        <w:jc w:val="both"/>
        <w:rPr>
          <w:rFonts w:ascii="Calibri" w:eastAsia="Calibri" w:hAnsi="Calibri" w:cs="Calibri"/>
          <w:sz w:val="26"/>
          <w:szCs w:val="26"/>
        </w:rPr>
      </w:pPr>
    </w:p>
    <w:p w:rsidR="00750352" w:rsidRDefault="00750352" w:rsidP="00FF307C">
      <w:pPr>
        <w:spacing w:line="276" w:lineRule="auto"/>
        <w:jc w:val="both"/>
        <w:rPr>
          <w:rFonts w:ascii="Calibri" w:eastAsia="Calibri" w:hAnsi="Calibri" w:cs="Calibri"/>
          <w:sz w:val="26"/>
          <w:szCs w:val="26"/>
        </w:rPr>
      </w:pPr>
      <w:r>
        <w:rPr>
          <w:rFonts w:ascii="Calibri" w:eastAsia="Calibri" w:hAnsi="Calibri" w:cs="Calibri"/>
          <w:sz w:val="26"/>
          <w:szCs w:val="26"/>
        </w:rPr>
        <w:tab/>
        <w:t xml:space="preserve">A inciativa é estimulada pelo ARES-PCJ e condicionada, como já citado anteriormente, à decretação de estado de calamidade municipal. </w:t>
      </w:r>
      <w:r w:rsidR="00BC14E9">
        <w:rPr>
          <w:rFonts w:ascii="Calibri" w:eastAsia="Calibri" w:hAnsi="Calibri" w:cs="Calibri"/>
          <w:sz w:val="26"/>
          <w:szCs w:val="26"/>
        </w:rPr>
        <w:t>O que o consórcio almeja (e deixa explícito em sua nota técnica) é assegurar aos entes participantes autonomia para oferecimento de políticas sociais na área de saneamento básico conforme condições particulares. Isto posto, é entendido que o trâmite de efetivação de um decreto de calamidade pública, com a aprovação pela Assembleia Legislativa, não precisa ser seguido por completo, mas apenas indicado e prenunciado por legislação local, requisito cumprido pelo Município.</w:t>
      </w:r>
    </w:p>
    <w:p w:rsidR="00BC14E9" w:rsidRDefault="00BC14E9" w:rsidP="00FF307C">
      <w:pPr>
        <w:spacing w:line="276" w:lineRule="auto"/>
        <w:jc w:val="both"/>
        <w:rPr>
          <w:rFonts w:ascii="Calibri" w:eastAsia="Calibri" w:hAnsi="Calibri" w:cs="Calibri"/>
          <w:sz w:val="26"/>
          <w:szCs w:val="26"/>
        </w:rPr>
      </w:pPr>
    </w:p>
    <w:p w:rsidR="00BC14E9" w:rsidRDefault="00BC14E9" w:rsidP="00FF307C">
      <w:pPr>
        <w:spacing w:line="276" w:lineRule="auto"/>
        <w:jc w:val="both"/>
        <w:rPr>
          <w:rFonts w:ascii="Calibri" w:eastAsia="Calibri" w:hAnsi="Calibri" w:cs="Calibri"/>
          <w:sz w:val="26"/>
          <w:szCs w:val="26"/>
        </w:rPr>
      </w:pPr>
      <w:r>
        <w:rPr>
          <w:rFonts w:ascii="Calibri" w:eastAsia="Calibri" w:hAnsi="Calibri" w:cs="Calibri"/>
          <w:sz w:val="26"/>
          <w:szCs w:val="26"/>
        </w:rPr>
        <w:tab/>
        <w:t xml:space="preserve">No entanto, a título de exercer as vantagens contábeis permitidas pelo Decreto de Calamidade Pública, com base no artigo 65 da LRF, exige-se a aprovação pela ALESP, fato inexistente atualmente. Ainda assim, a LRF não impede apresentação de benefícios, como já exposto, desde que seguidas as orientações contábeis encaixadas nas previsões orçamentárias do presente </w:t>
      </w:r>
      <w:r w:rsidR="00CD3072">
        <w:rPr>
          <w:rFonts w:ascii="Calibri" w:eastAsia="Calibri" w:hAnsi="Calibri" w:cs="Calibri"/>
          <w:sz w:val="26"/>
          <w:szCs w:val="26"/>
        </w:rPr>
        <w:t>exercício.</w:t>
      </w:r>
    </w:p>
    <w:p w:rsidR="00CD3072" w:rsidRDefault="00CD3072" w:rsidP="00FF307C">
      <w:pPr>
        <w:spacing w:line="276" w:lineRule="auto"/>
        <w:jc w:val="both"/>
        <w:rPr>
          <w:rFonts w:ascii="Calibri" w:eastAsia="Calibri" w:hAnsi="Calibri" w:cs="Calibri"/>
          <w:sz w:val="26"/>
          <w:szCs w:val="26"/>
        </w:rPr>
      </w:pPr>
    </w:p>
    <w:p w:rsidR="00CD3072" w:rsidRDefault="00CD3072" w:rsidP="00CD3072">
      <w:pPr>
        <w:rPr>
          <w:rFonts w:ascii="Calibri" w:eastAsia="Calibri" w:hAnsi="Calibri" w:cs="Calibri"/>
          <w:sz w:val="26"/>
          <w:szCs w:val="26"/>
        </w:rPr>
      </w:pPr>
      <w:r>
        <w:rPr>
          <w:rFonts w:ascii="Calibri" w:eastAsia="Calibri" w:hAnsi="Calibri" w:cs="Calibri"/>
          <w:sz w:val="26"/>
          <w:szCs w:val="26"/>
        </w:rPr>
        <w:tab/>
        <w:t xml:space="preserve">Destarte, impedido de atuar no limiar da calamidade pública, mas mantendo o objetivo de concessão de justo benefício aos estabelecimentos comerciais, deve o </w:t>
      </w:r>
      <w:r>
        <w:rPr>
          <w:rFonts w:ascii="Calibri" w:eastAsia="Calibri" w:hAnsi="Calibri" w:cs="Calibri"/>
          <w:sz w:val="26"/>
          <w:szCs w:val="26"/>
        </w:rPr>
        <w:lastRenderedPageBreak/>
        <w:t>texto da Lei se adequar às expectativas financeiras da autarquia e estipular prazo de aplicação restrito a seis meses.</w:t>
      </w:r>
    </w:p>
    <w:p w:rsidR="00750352" w:rsidRDefault="00750352" w:rsidP="00FF307C">
      <w:pPr>
        <w:spacing w:line="276" w:lineRule="auto"/>
        <w:jc w:val="both"/>
        <w:rPr>
          <w:rFonts w:ascii="Calibri" w:eastAsia="Calibri" w:hAnsi="Calibri" w:cs="Calibri"/>
          <w:sz w:val="26"/>
          <w:szCs w:val="26"/>
        </w:rPr>
      </w:pPr>
    </w:p>
    <w:p w:rsidR="00111F9C" w:rsidRDefault="00111F9C">
      <w:pPr>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Levando em conta todos os </w:t>
      </w:r>
      <w:r w:rsidR="00CD3072">
        <w:rPr>
          <w:rFonts w:ascii="Calibri" w:eastAsia="Calibri" w:hAnsi="Calibri" w:cs="Calibri"/>
          <w:sz w:val="26"/>
          <w:szCs w:val="26"/>
        </w:rPr>
        <w:t xml:space="preserve">apontamentos e análises jurídicas ao referido projeto, faz-se necessário emenda modificativa, a ser apresentada doravante, para que possa ter permitida a continuidade de sua tramitação. </w:t>
      </w:r>
    </w:p>
    <w:p w:rsidR="005A29E0" w:rsidRDefault="005A29E0">
      <w:pPr>
        <w:spacing w:line="276" w:lineRule="auto"/>
        <w:ind w:firstLine="709"/>
        <w:jc w:val="both"/>
        <w:rPr>
          <w:rFonts w:ascii="Calibri" w:eastAsia="Calibri" w:hAnsi="Calibri" w:cs="Calibri"/>
          <w:sz w:val="26"/>
          <w:szCs w:val="26"/>
        </w:rPr>
      </w:pPr>
    </w:p>
    <w:p w:rsidR="00F20801" w:rsidRDefault="00F20801">
      <w:pPr>
        <w:spacing w:line="276" w:lineRule="auto"/>
        <w:jc w:val="both"/>
        <w:rPr>
          <w:rFonts w:ascii="Calibri" w:eastAsia="Calibri" w:hAnsi="Calibri" w:cs="Calibri"/>
          <w:sz w:val="26"/>
          <w:szCs w:val="26"/>
        </w:rPr>
      </w:pPr>
    </w:p>
    <w:p w:rsidR="00CB4F89" w:rsidRDefault="00497870" w:rsidP="00CB4F89">
      <w:pPr>
        <w:spacing w:line="276" w:lineRule="auto"/>
        <w:ind w:firstLine="709"/>
        <w:jc w:val="both"/>
        <w:rPr>
          <w:rFonts w:ascii="Calibri" w:eastAsia="Calibri" w:hAnsi="Calibri" w:cs="Calibri"/>
          <w:sz w:val="26"/>
          <w:szCs w:val="26"/>
        </w:rPr>
      </w:pPr>
      <w:r>
        <w:rPr>
          <w:rFonts w:ascii="Calibri" w:eastAsia="Calibri" w:hAnsi="Calibri" w:cs="Calibri"/>
          <w:b/>
          <w:sz w:val="26"/>
          <w:szCs w:val="26"/>
        </w:rPr>
        <w:t>II. Do mérito e conclusões do relator</w:t>
      </w:r>
      <w:r>
        <w:rPr>
          <w:rFonts w:ascii="Calibri" w:eastAsia="Calibri" w:hAnsi="Calibri" w:cs="Calibri"/>
          <w:sz w:val="26"/>
          <w:szCs w:val="26"/>
        </w:rPr>
        <w:t xml:space="preserve"> </w:t>
      </w:r>
      <w:r w:rsidR="00CB4F89">
        <w:rPr>
          <w:rFonts w:ascii="Calibri" w:eastAsia="Calibri" w:hAnsi="Calibri" w:cs="Calibri"/>
          <w:sz w:val="26"/>
          <w:szCs w:val="26"/>
        </w:rPr>
        <w:tab/>
      </w:r>
      <w:r w:rsidR="00CB4F89">
        <w:rPr>
          <w:rFonts w:ascii="Calibri" w:eastAsia="Calibri" w:hAnsi="Calibri" w:cs="Calibri"/>
          <w:sz w:val="26"/>
          <w:szCs w:val="26"/>
        </w:rPr>
        <w:tab/>
      </w:r>
    </w:p>
    <w:p w:rsidR="00CB4F89" w:rsidRDefault="00CB4F89" w:rsidP="00CB4F89">
      <w:pPr>
        <w:spacing w:line="276" w:lineRule="auto"/>
        <w:ind w:firstLine="709"/>
        <w:jc w:val="both"/>
        <w:rPr>
          <w:rFonts w:ascii="Calibri" w:eastAsia="Calibri" w:hAnsi="Calibri" w:cs="Calibri"/>
          <w:sz w:val="26"/>
          <w:szCs w:val="26"/>
        </w:rPr>
      </w:pPr>
    </w:p>
    <w:p w:rsidR="005043C4" w:rsidRDefault="00CB4F89" w:rsidP="005043C4">
      <w:pPr>
        <w:spacing w:line="276" w:lineRule="auto"/>
        <w:jc w:val="both"/>
        <w:rPr>
          <w:rFonts w:ascii="Calibri" w:eastAsia="Calibri" w:hAnsi="Calibri" w:cs="Calibri"/>
          <w:sz w:val="26"/>
          <w:szCs w:val="26"/>
        </w:rPr>
      </w:pPr>
      <w:r>
        <w:rPr>
          <w:rFonts w:ascii="Calibri" w:eastAsia="Calibri" w:hAnsi="Calibri" w:cs="Calibri"/>
          <w:sz w:val="26"/>
          <w:szCs w:val="26"/>
        </w:rPr>
        <w:tab/>
      </w:r>
      <w:r w:rsidR="005043C4">
        <w:rPr>
          <w:rFonts w:ascii="Calibri" w:eastAsia="Calibri" w:hAnsi="Calibri" w:cs="Calibri"/>
          <w:sz w:val="26"/>
          <w:szCs w:val="26"/>
        </w:rPr>
        <w:t>Na busca por culpados à disseminação da Covid-19 durante a pandemia, autoridades superiores, narrando que sob amparo científico, decidiram fechar estabelecimentos comerciais no Brasil</w:t>
      </w:r>
      <w:r w:rsidR="00481929">
        <w:rPr>
          <w:rFonts w:ascii="Calibri" w:eastAsia="Calibri" w:hAnsi="Calibri" w:cs="Calibri"/>
          <w:sz w:val="26"/>
          <w:szCs w:val="26"/>
        </w:rPr>
        <w:t xml:space="preserve"> e relegaram a segundo plano a </w:t>
      </w:r>
      <w:proofErr w:type="spellStart"/>
      <w:r w:rsidR="00481929">
        <w:rPr>
          <w:rFonts w:ascii="Calibri" w:eastAsia="Calibri" w:hAnsi="Calibri" w:cs="Calibri"/>
          <w:sz w:val="26"/>
          <w:szCs w:val="26"/>
        </w:rPr>
        <w:t>primordialidade</w:t>
      </w:r>
      <w:proofErr w:type="spellEnd"/>
      <w:r w:rsidR="00481929">
        <w:rPr>
          <w:rFonts w:ascii="Calibri" w:eastAsia="Calibri" w:hAnsi="Calibri" w:cs="Calibri"/>
          <w:sz w:val="26"/>
          <w:szCs w:val="26"/>
        </w:rPr>
        <w:t xml:space="preserve"> de mitigar aglomerações, conscientizar a população sobre uso de máscaras e higienização e incentivar o isolamento responsável. Dessa forma, enquanto diversos setores econômicos se mantiveram atuantes, lojas e bares foram obrigados a fechar suas portas e se viram com incontáveis problemas econômicos.</w:t>
      </w:r>
    </w:p>
    <w:p w:rsidR="00053033" w:rsidRDefault="00053033" w:rsidP="005043C4">
      <w:pPr>
        <w:spacing w:line="276" w:lineRule="auto"/>
        <w:jc w:val="both"/>
        <w:rPr>
          <w:rFonts w:ascii="Calibri" w:eastAsia="Calibri" w:hAnsi="Calibri" w:cs="Calibri"/>
          <w:sz w:val="26"/>
          <w:szCs w:val="26"/>
        </w:rPr>
      </w:pPr>
    </w:p>
    <w:p w:rsidR="00053033" w:rsidRDefault="00053033" w:rsidP="005043C4">
      <w:pPr>
        <w:spacing w:line="276" w:lineRule="auto"/>
        <w:jc w:val="both"/>
        <w:rPr>
          <w:rFonts w:ascii="Calibri" w:eastAsia="Calibri" w:hAnsi="Calibri" w:cs="Calibri"/>
          <w:sz w:val="26"/>
          <w:szCs w:val="26"/>
        </w:rPr>
      </w:pPr>
      <w:r>
        <w:rPr>
          <w:rFonts w:ascii="Calibri" w:eastAsia="Calibri" w:hAnsi="Calibri" w:cs="Calibri"/>
          <w:sz w:val="26"/>
          <w:szCs w:val="26"/>
        </w:rPr>
        <w:tab/>
        <w:t>Com todas as dificuldades enfrentadas, cabe ao Poder Público em suas diversas esferas, buscar soluções que atenuem o sofrimento dos trabalhadores do terceiro setor, a fim de evitar agravamento na crise socioeconômica por eles enfrentada.</w:t>
      </w:r>
    </w:p>
    <w:p w:rsidR="00053033" w:rsidRDefault="00053033" w:rsidP="005043C4">
      <w:pPr>
        <w:spacing w:line="276" w:lineRule="auto"/>
        <w:jc w:val="both"/>
        <w:rPr>
          <w:rFonts w:ascii="Calibri" w:eastAsia="Calibri" w:hAnsi="Calibri" w:cs="Calibri"/>
          <w:sz w:val="26"/>
          <w:szCs w:val="26"/>
        </w:rPr>
      </w:pPr>
    </w:p>
    <w:p w:rsidR="00053033" w:rsidRDefault="00053033" w:rsidP="005043C4">
      <w:pPr>
        <w:spacing w:line="276" w:lineRule="auto"/>
        <w:jc w:val="both"/>
        <w:rPr>
          <w:rFonts w:ascii="Calibri" w:eastAsia="Calibri" w:hAnsi="Calibri" w:cs="Calibri"/>
          <w:sz w:val="26"/>
          <w:szCs w:val="26"/>
        </w:rPr>
      </w:pPr>
      <w:r>
        <w:rPr>
          <w:rFonts w:ascii="Calibri" w:eastAsia="Calibri" w:hAnsi="Calibri" w:cs="Calibri"/>
          <w:sz w:val="26"/>
          <w:szCs w:val="26"/>
        </w:rPr>
        <w:tab/>
        <w:t>Destarte, o projeto aqui proposto é muito importante para auxiliar os profissionais da área com um certo alento na tarifa de água, esgoto e tratamento de esgoto, buscando diminuir despesas em um momento onde não há aumento de receitas.</w:t>
      </w:r>
    </w:p>
    <w:p w:rsidR="00053033" w:rsidRDefault="00053033" w:rsidP="005043C4">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 xml:space="preserve">No que se refere à análise sob o mérito financeiro do projeto, consta acostado nos autos do referido processo o Estudo do Impacto Financeiro da proposta, elaborado pelo Diretor de Gestão Administrativa e Financeira do SAAE Mogi Mirim, Sr. Evandro </w:t>
      </w:r>
      <w:proofErr w:type="spellStart"/>
      <w:r w:rsidRPr="00053033">
        <w:rPr>
          <w:rFonts w:ascii="Calibri" w:eastAsia="Calibri" w:hAnsi="Calibri" w:cs="Calibri"/>
          <w:sz w:val="26"/>
          <w:szCs w:val="26"/>
        </w:rPr>
        <w:t>Antonio</w:t>
      </w:r>
      <w:proofErr w:type="spellEnd"/>
      <w:r w:rsidRPr="00053033">
        <w:rPr>
          <w:rFonts w:ascii="Calibri" w:eastAsia="Calibri" w:hAnsi="Calibri" w:cs="Calibri"/>
          <w:sz w:val="26"/>
          <w:szCs w:val="26"/>
        </w:rPr>
        <w:t xml:space="preserve"> </w:t>
      </w:r>
      <w:proofErr w:type="spellStart"/>
      <w:r w:rsidRPr="00053033">
        <w:rPr>
          <w:rFonts w:ascii="Calibri" w:eastAsia="Calibri" w:hAnsi="Calibri" w:cs="Calibri"/>
          <w:sz w:val="26"/>
          <w:szCs w:val="26"/>
        </w:rPr>
        <w:t>Trentin</w:t>
      </w:r>
      <w:proofErr w:type="spellEnd"/>
      <w:r w:rsidRPr="00053033">
        <w:rPr>
          <w:rFonts w:ascii="Calibri" w:eastAsia="Calibri" w:hAnsi="Calibri" w:cs="Calibri"/>
          <w:sz w:val="26"/>
          <w:szCs w:val="26"/>
        </w:rPr>
        <w:t xml:space="preserve">, com base nos dados históricos do exercício de 2020, levando em consideração o orçamento previsto para este ano e estimativa do impacto causado pela proposta. </w:t>
      </w:r>
    </w:p>
    <w:p w:rsidR="00053033" w:rsidRPr="00053033" w:rsidRDefault="00053033" w:rsidP="00053033">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 xml:space="preserve">Segundo tal levantamento, no exercício do ano passado (2020), a categoria comercial com faixa de consumo de 0 a 10m³ mensais, foi responsável pela arrecadação </w:t>
      </w:r>
      <w:r w:rsidRPr="00053033">
        <w:rPr>
          <w:rFonts w:ascii="Calibri" w:eastAsia="Calibri" w:hAnsi="Calibri" w:cs="Calibri"/>
          <w:sz w:val="26"/>
          <w:szCs w:val="26"/>
        </w:rPr>
        <w:lastRenderedPageBreak/>
        <w:t>de aproximadamente R$178.622,30 no mês para a autarquia, referente ao somatório das taxas de consumo de água e do serviço de coleta e tratamento de esgoto, conforme descrito abaixo na tabela indicada pelo SAAE.</w:t>
      </w:r>
    </w:p>
    <w:p w:rsidR="00053033" w:rsidRPr="00053033" w:rsidRDefault="00053033" w:rsidP="00053033">
      <w:pPr>
        <w:spacing w:line="276" w:lineRule="auto"/>
        <w:jc w:val="both"/>
        <w:rPr>
          <w:rFonts w:ascii="Calibri" w:eastAsia="Calibri" w:hAnsi="Calibri" w:cs="Calibri"/>
          <w:sz w:val="26"/>
          <w:szCs w:val="26"/>
        </w:rPr>
      </w:pPr>
    </w:p>
    <w:tbl>
      <w:tblPr>
        <w:tblStyle w:val="Tabelacomgrade"/>
        <w:tblW w:w="9072" w:type="dxa"/>
        <w:tblInd w:w="-5" w:type="dxa"/>
        <w:tblLook w:val="04A0" w:firstRow="1" w:lastRow="0" w:firstColumn="1" w:lastColumn="0" w:noHBand="0" w:noVBand="1"/>
      </w:tblPr>
      <w:tblGrid>
        <w:gridCol w:w="709"/>
        <w:gridCol w:w="1591"/>
        <w:gridCol w:w="1553"/>
        <w:gridCol w:w="1250"/>
        <w:gridCol w:w="1570"/>
        <w:gridCol w:w="1124"/>
        <w:gridCol w:w="1275"/>
      </w:tblGrid>
      <w:tr w:rsidR="00053033" w:rsidRPr="00121C44" w:rsidTr="00387B3F">
        <w:trPr>
          <w:trHeight w:val="311"/>
        </w:trPr>
        <w:tc>
          <w:tcPr>
            <w:tcW w:w="709" w:type="dxa"/>
          </w:tcPr>
          <w:p w:rsidR="00053033" w:rsidRPr="00121C44" w:rsidRDefault="00053033" w:rsidP="00387B3F">
            <w:pPr>
              <w:jc w:val="both"/>
              <w:rPr>
                <w:rFonts w:ascii="Arial" w:hAnsi="Arial" w:cs="Arial"/>
                <w:b/>
                <w:bCs/>
              </w:rPr>
            </w:pPr>
            <w:proofErr w:type="gramStart"/>
            <w:r w:rsidRPr="00121C44">
              <w:rPr>
                <w:rFonts w:ascii="Arial" w:hAnsi="Arial" w:cs="Arial"/>
                <w:b/>
                <w:bCs/>
              </w:rPr>
              <w:t>m</w:t>
            </w:r>
            <w:proofErr w:type="gramEnd"/>
            <w:r w:rsidRPr="00121C44">
              <w:rPr>
                <w:rFonts w:ascii="Arial" w:hAnsi="Arial" w:cs="Arial"/>
                <w:b/>
                <w:bCs/>
              </w:rPr>
              <w:t>³</w:t>
            </w:r>
          </w:p>
        </w:tc>
        <w:tc>
          <w:tcPr>
            <w:tcW w:w="1591" w:type="dxa"/>
          </w:tcPr>
          <w:p w:rsidR="00053033" w:rsidRPr="00121C44" w:rsidRDefault="00053033" w:rsidP="00387B3F">
            <w:pPr>
              <w:jc w:val="both"/>
              <w:rPr>
                <w:rFonts w:ascii="Arial" w:hAnsi="Arial" w:cs="Arial"/>
                <w:b/>
                <w:bCs/>
              </w:rPr>
            </w:pPr>
            <w:r w:rsidRPr="00121C44">
              <w:rPr>
                <w:rFonts w:ascii="Arial" w:hAnsi="Arial" w:cs="Arial"/>
                <w:b/>
                <w:bCs/>
              </w:rPr>
              <w:t xml:space="preserve">Consumo real </w:t>
            </w:r>
          </w:p>
        </w:tc>
        <w:tc>
          <w:tcPr>
            <w:tcW w:w="1553" w:type="dxa"/>
          </w:tcPr>
          <w:p w:rsidR="00053033" w:rsidRPr="00121C44" w:rsidRDefault="00053033" w:rsidP="00387B3F">
            <w:pPr>
              <w:jc w:val="both"/>
              <w:rPr>
                <w:rFonts w:ascii="Arial" w:hAnsi="Arial" w:cs="Arial"/>
                <w:b/>
                <w:bCs/>
              </w:rPr>
            </w:pPr>
            <w:proofErr w:type="spellStart"/>
            <w:r w:rsidRPr="00121C44">
              <w:rPr>
                <w:rFonts w:ascii="Arial" w:hAnsi="Arial" w:cs="Arial"/>
                <w:b/>
                <w:bCs/>
              </w:rPr>
              <w:t>Qtd</w:t>
            </w:r>
            <w:proofErr w:type="spellEnd"/>
            <w:r w:rsidRPr="00121C44">
              <w:rPr>
                <w:rFonts w:ascii="Arial" w:hAnsi="Arial" w:cs="Arial"/>
                <w:b/>
                <w:bCs/>
              </w:rPr>
              <w:t>. Ligações</w:t>
            </w:r>
          </w:p>
        </w:tc>
        <w:tc>
          <w:tcPr>
            <w:tcW w:w="1250" w:type="dxa"/>
          </w:tcPr>
          <w:p w:rsidR="00053033" w:rsidRPr="00121C44" w:rsidRDefault="00053033" w:rsidP="00387B3F">
            <w:pPr>
              <w:jc w:val="both"/>
              <w:rPr>
                <w:rFonts w:ascii="Arial" w:hAnsi="Arial" w:cs="Arial"/>
                <w:b/>
                <w:bCs/>
              </w:rPr>
            </w:pPr>
            <w:r w:rsidRPr="00121C44">
              <w:rPr>
                <w:rFonts w:ascii="Arial" w:hAnsi="Arial" w:cs="Arial"/>
                <w:b/>
                <w:bCs/>
              </w:rPr>
              <w:t xml:space="preserve">Econ. Água </w:t>
            </w:r>
          </w:p>
        </w:tc>
        <w:tc>
          <w:tcPr>
            <w:tcW w:w="1570" w:type="dxa"/>
          </w:tcPr>
          <w:p w:rsidR="00053033" w:rsidRPr="00121C44" w:rsidRDefault="00053033" w:rsidP="00387B3F">
            <w:pPr>
              <w:jc w:val="both"/>
              <w:rPr>
                <w:rFonts w:ascii="Arial" w:hAnsi="Arial" w:cs="Arial"/>
                <w:b/>
                <w:bCs/>
              </w:rPr>
            </w:pPr>
            <w:r w:rsidRPr="00121C44">
              <w:rPr>
                <w:rFonts w:ascii="Arial" w:hAnsi="Arial" w:cs="Arial"/>
                <w:b/>
                <w:bCs/>
              </w:rPr>
              <w:t>Econ. Esgoto</w:t>
            </w:r>
          </w:p>
        </w:tc>
        <w:tc>
          <w:tcPr>
            <w:tcW w:w="1124" w:type="dxa"/>
          </w:tcPr>
          <w:p w:rsidR="00053033" w:rsidRPr="00121C44" w:rsidRDefault="00053033" w:rsidP="00387B3F">
            <w:pPr>
              <w:jc w:val="both"/>
              <w:rPr>
                <w:rFonts w:ascii="Arial" w:hAnsi="Arial" w:cs="Arial"/>
                <w:b/>
                <w:bCs/>
              </w:rPr>
            </w:pPr>
            <w:r w:rsidRPr="00121C44">
              <w:rPr>
                <w:rFonts w:ascii="Arial" w:hAnsi="Arial" w:cs="Arial"/>
                <w:b/>
                <w:bCs/>
              </w:rPr>
              <w:t xml:space="preserve">R$ Água </w:t>
            </w:r>
          </w:p>
        </w:tc>
        <w:tc>
          <w:tcPr>
            <w:tcW w:w="1275" w:type="dxa"/>
          </w:tcPr>
          <w:p w:rsidR="00053033" w:rsidRPr="00121C44" w:rsidRDefault="00053033" w:rsidP="00387B3F">
            <w:pPr>
              <w:jc w:val="both"/>
              <w:rPr>
                <w:rFonts w:ascii="Arial" w:hAnsi="Arial" w:cs="Arial"/>
                <w:b/>
                <w:bCs/>
              </w:rPr>
            </w:pPr>
            <w:r w:rsidRPr="00121C44">
              <w:rPr>
                <w:rFonts w:ascii="Arial" w:hAnsi="Arial" w:cs="Arial"/>
                <w:b/>
                <w:bCs/>
              </w:rPr>
              <w:t>R$ Esgoto</w:t>
            </w:r>
          </w:p>
        </w:tc>
      </w:tr>
      <w:tr w:rsidR="00053033" w:rsidRPr="00121C44" w:rsidTr="00387B3F">
        <w:trPr>
          <w:trHeight w:val="416"/>
        </w:trPr>
        <w:tc>
          <w:tcPr>
            <w:tcW w:w="709" w:type="dxa"/>
          </w:tcPr>
          <w:p w:rsidR="00053033" w:rsidRPr="00121C44" w:rsidRDefault="00053033" w:rsidP="00387B3F">
            <w:pPr>
              <w:jc w:val="both"/>
              <w:rPr>
                <w:rFonts w:ascii="Arial" w:hAnsi="Arial" w:cs="Arial"/>
              </w:rPr>
            </w:pPr>
            <w:r w:rsidRPr="00121C44">
              <w:rPr>
                <w:rFonts w:ascii="Arial" w:hAnsi="Arial" w:cs="Arial"/>
              </w:rPr>
              <w:t>0-10</w:t>
            </w:r>
          </w:p>
        </w:tc>
        <w:tc>
          <w:tcPr>
            <w:tcW w:w="1591" w:type="dxa"/>
          </w:tcPr>
          <w:p w:rsidR="00053033" w:rsidRPr="00121C44" w:rsidRDefault="00053033" w:rsidP="00387B3F">
            <w:pPr>
              <w:jc w:val="both"/>
              <w:rPr>
                <w:rFonts w:ascii="Arial" w:hAnsi="Arial" w:cs="Arial"/>
              </w:rPr>
            </w:pPr>
            <w:r w:rsidRPr="00121C44">
              <w:rPr>
                <w:rFonts w:ascii="Arial" w:hAnsi="Arial" w:cs="Arial"/>
              </w:rPr>
              <w:t>6.853</w:t>
            </w:r>
          </w:p>
        </w:tc>
        <w:tc>
          <w:tcPr>
            <w:tcW w:w="1553" w:type="dxa"/>
          </w:tcPr>
          <w:p w:rsidR="00053033" w:rsidRPr="00121C44" w:rsidRDefault="00053033" w:rsidP="00387B3F">
            <w:pPr>
              <w:jc w:val="both"/>
              <w:rPr>
                <w:rFonts w:ascii="Arial" w:hAnsi="Arial" w:cs="Arial"/>
              </w:rPr>
            </w:pPr>
            <w:r w:rsidRPr="00121C44">
              <w:rPr>
                <w:rFonts w:ascii="Arial" w:hAnsi="Arial" w:cs="Arial"/>
              </w:rPr>
              <w:t>1.926</w:t>
            </w:r>
          </w:p>
        </w:tc>
        <w:tc>
          <w:tcPr>
            <w:tcW w:w="1250" w:type="dxa"/>
          </w:tcPr>
          <w:p w:rsidR="00053033" w:rsidRPr="00121C44" w:rsidRDefault="00053033" w:rsidP="00387B3F">
            <w:pPr>
              <w:jc w:val="both"/>
              <w:rPr>
                <w:rFonts w:ascii="Arial" w:hAnsi="Arial" w:cs="Arial"/>
              </w:rPr>
            </w:pPr>
            <w:r w:rsidRPr="00121C44">
              <w:rPr>
                <w:rFonts w:ascii="Arial" w:hAnsi="Arial" w:cs="Arial"/>
              </w:rPr>
              <w:t>1.976</w:t>
            </w:r>
          </w:p>
        </w:tc>
        <w:tc>
          <w:tcPr>
            <w:tcW w:w="1570" w:type="dxa"/>
          </w:tcPr>
          <w:p w:rsidR="00053033" w:rsidRPr="00121C44" w:rsidRDefault="00053033" w:rsidP="00387B3F">
            <w:pPr>
              <w:jc w:val="both"/>
              <w:rPr>
                <w:rFonts w:ascii="Arial" w:hAnsi="Arial" w:cs="Arial"/>
              </w:rPr>
            </w:pPr>
            <w:r w:rsidRPr="00121C44">
              <w:rPr>
                <w:rFonts w:ascii="Arial" w:hAnsi="Arial" w:cs="Arial"/>
              </w:rPr>
              <w:t>1946</w:t>
            </w:r>
          </w:p>
        </w:tc>
        <w:tc>
          <w:tcPr>
            <w:tcW w:w="1124" w:type="dxa"/>
          </w:tcPr>
          <w:p w:rsidR="00053033" w:rsidRPr="00121C44" w:rsidRDefault="00053033" w:rsidP="00387B3F">
            <w:pPr>
              <w:jc w:val="both"/>
              <w:rPr>
                <w:rFonts w:ascii="Arial" w:hAnsi="Arial" w:cs="Arial"/>
              </w:rPr>
            </w:pPr>
            <w:r w:rsidRPr="00121C44">
              <w:rPr>
                <w:rFonts w:ascii="Arial" w:hAnsi="Arial" w:cs="Arial"/>
              </w:rPr>
              <w:t>89.962,46</w:t>
            </w:r>
          </w:p>
        </w:tc>
        <w:tc>
          <w:tcPr>
            <w:tcW w:w="1275" w:type="dxa"/>
          </w:tcPr>
          <w:p w:rsidR="00053033" w:rsidRPr="00121C44" w:rsidRDefault="00053033" w:rsidP="00387B3F">
            <w:pPr>
              <w:jc w:val="both"/>
              <w:rPr>
                <w:rFonts w:ascii="Arial" w:hAnsi="Arial" w:cs="Arial"/>
              </w:rPr>
            </w:pPr>
            <w:r w:rsidRPr="00121C44">
              <w:rPr>
                <w:rFonts w:ascii="Arial" w:hAnsi="Arial" w:cs="Arial"/>
              </w:rPr>
              <w:t>88.659,85</w:t>
            </w:r>
          </w:p>
        </w:tc>
      </w:tr>
    </w:tbl>
    <w:p w:rsidR="00053033" w:rsidRPr="00053033" w:rsidRDefault="00053033" w:rsidP="00053033">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A proposta é atuar nas economias com consumo de água em até 5m³ mensais, enquadrados na categoria de uso comercial, sendo aproximadamente 1.482 economias (75% das 1.976). Separando as faixas de consumos temos a seguinte situação:</w:t>
      </w:r>
    </w:p>
    <w:p w:rsidR="00053033" w:rsidRPr="00053033" w:rsidRDefault="00053033" w:rsidP="00053033">
      <w:pPr>
        <w:spacing w:line="276" w:lineRule="auto"/>
        <w:jc w:val="both"/>
        <w:rPr>
          <w:rFonts w:ascii="Calibri" w:eastAsia="Calibri" w:hAnsi="Calibri" w:cs="Calibri"/>
          <w:sz w:val="26"/>
          <w:szCs w:val="26"/>
        </w:rPr>
      </w:pPr>
    </w:p>
    <w:tbl>
      <w:tblPr>
        <w:tblStyle w:val="Tabelacomgrade"/>
        <w:tblW w:w="0" w:type="auto"/>
        <w:tblLook w:val="04A0" w:firstRow="1" w:lastRow="0" w:firstColumn="1" w:lastColumn="0" w:noHBand="0" w:noVBand="1"/>
      </w:tblPr>
      <w:tblGrid>
        <w:gridCol w:w="1831"/>
        <w:gridCol w:w="1831"/>
        <w:gridCol w:w="1832"/>
        <w:gridCol w:w="1832"/>
        <w:gridCol w:w="1832"/>
      </w:tblGrid>
      <w:tr w:rsidR="00053033" w:rsidRPr="00121C44" w:rsidTr="00387B3F">
        <w:tc>
          <w:tcPr>
            <w:tcW w:w="1831" w:type="dxa"/>
          </w:tcPr>
          <w:p w:rsidR="00053033" w:rsidRPr="00121C44" w:rsidRDefault="00053033" w:rsidP="00387B3F">
            <w:pPr>
              <w:jc w:val="both"/>
              <w:rPr>
                <w:rFonts w:ascii="Arial" w:hAnsi="Arial" w:cs="Arial"/>
                <w:b/>
                <w:bCs/>
                <w:iCs/>
                <w:sz w:val="22"/>
                <w:szCs w:val="22"/>
              </w:rPr>
            </w:pPr>
            <w:proofErr w:type="gramStart"/>
            <w:r w:rsidRPr="00121C44">
              <w:rPr>
                <w:rFonts w:ascii="Arial" w:hAnsi="Arial" w:cs="Arial"/>
                <w:b/>
                <w:bCs/>
                <w:iCs/>
                <w:sz w:val="22"/>
                <w:szCs w:val="22"/>
              </w:rPr>
              <w:t>m</w:t>
            </w:r>
            <w:proofErr w:type="gramEnd"/>
            <w:r w:rsidRPr="00121C44">
              <w:rPr>
                <w:rFonts w:ascii="Arial" w:hAnsi="Arial" w:cs="Arial"/>
                <w:b/>
                <w:bCs/>
                <w:iCs/>
                <w:sz w:val="22"/>
                <w:szCs w:val="22"/>
              </w:rPr>
              <w:t>³</w:t>
            </w:r>
          </w:p>
        </w:tc>
        <w:tc>
          <w:tcPr>
            <w:tcW w:w="1831" w:type="dxa"/>
          </w:tcPr>
          <w:p w:rsidR="00053033" w:rsidRPr="00121C44" w:rsidRDefault="00053033" w:rsidP="00387B3F">
            <w:pPr>
              <w:jc w:val="both"/>
              <w:rPr>
                <w:rFonts w:ascii="Arial" w:hAnsi="Arial" w:cs="Arial"/>
                <w:b/>
                <w:bCs/>
                <w:iCs/>
                <w:sz w:val="22"/>
                <w:szCs w:val="22"/>
              </w:rPr>
            </w:pPr>
            <w:r w:rsidRPr="00121C44">
              <w:rPr>
                <w:rFonts w:ascii="Arial" w:hAnsi="Arial" w:cs="Arial"/>
                <w:b/>
                <w:bCs/>
                <w:iCs/>
                <w:sz w:val="22"/>
                <w:szCs w:val="22"/>
              </w:rPr>
              <w:t>Econ. água</w:t>
            </w:r>
          </w:p>
        </w:tc>
        <w:tc>
          <w:tcPr>
            <w:tcW w:w="1832" w:type="dxa"/>
          </w:tcPr>
          <w:p w:rsidR="00053033" w:rsidRPr="00121C44" w:rsidRDefault="00053033" w:rsidP="00387B3F">
            <w:pPr>
              <w:jc w:val="both"/>
              <w:rPr>
                <w:rFonts w:ascii="Arial" w:hAnsi="Arial" w:cs="Arial"/>
                <w:b/>
                <w:bCs/>
                <w:iCs/>
                <w:sz w:val="22"/>
                <w:szCs w:val="22"/>
              </w:rPr>
            </w:pPr>
            <w:r w:rsidRPr="00121C44">
              <w:rPr>
                <w:rFonts w:ascii="Arial" w:hAnsi="Arial" w:cs="Arial"/>
                <w:b/>
                <w:bCs/>
                <w:iCs/>
                <w:sz w:val="22"/>
                <w:szCs w:val="22"/>
              </w:rPr>
              <w:t>Econ. Esgoto</w:t>
            </w:r>
          </w:p>
        </w:tc>
        <w:tc>
          <w:tcPr>
            <w:tcW w:w="1832" w:type="dxa"/>
          </w:tcPr>
          <w:p w:rsidR="00053033" w:rsidRPr="00121C44" w:rsidRDefault="00053033" w:rsidP="00387B3F">
            <w:pPr>
              <w:jc w:val="both"/>
              <w:rPr>
                <w:rFonts w:ascii="Arial" w:hAnsi="Arial" w:cs="Arial"/>
                <w:b/>
                <w:bCs/>
                <w:iCs/>
                <w:sz w:val="22"/>
                <w:szCs w:val="22"/>
              </w:rPr>
            </w:pPr>
            <w:r w:rsidRPr="00121C44">
              <w:rPr>
                <w:rFonts w:ascii="Arial" w:hAnsi="Arial" w:cs="Arial"/>
                <w:b/>
                <w:bCs/>
                <w:iCs/>
                <w:sz w:val="22"/>
                <w:szCs w:val="22"/>
              </w:rPr>
              <w:t xml:space="preserve">R$ Água </w:t>
            </w:r>
          </w:p>
        </w:tc>
        <w:tc>
          <w:tcPr>
            <w:tcW w:w="1832" w:type="dxa"/>
          </w:tcPr>
          <w:p w:rsidR="00053033" w:rsidRPr="00121C44" w:rsidRDefault="00053033" w:rsidP="00387B3F">
            <w:pPr>
              <w:jc w:val="both"/>
              <w:rPr>
                <w:rFonts w:ascii="Arial" w:hAnsi="Arial" w:cs="Arial"/>
                <w:b/>
                <w:bCs/>
                <w:iCs/>
                <w:sz w:val="22"/>
                <w:szCs w:val="22"/>
              </w:rPr>
            </w:pPr>
            <w:r w:rsidRPr="00121C44">
              <w:rPr>
                <w:rFonts w:ascii="Arial" w:hAnsi="Arial" w:cs="Arial"/>
                <w:b/>
                <w:bCs/>
                <w:iCs/>
                <w:sz w:val="22"/>
                <w:szCs w:val="22"/>
              </w:rPr>
              <w:t>R$ Esgoto</w:t>
            </w:r>
          </w:p>
        </w:tc>
      </w:tr>
      <w:tr w:rsidR="00053033" w:rsidRPr="00121C44" w:rsidTr="00387B3F">
        <w:tc>
          <w:tcPr>
            <w:tcW w:w="1831" w:type="dxa"/>
          </w:tcPr>
          <w:p w:rsidR="00053033" w:rsidRPr="00121C44" w:rsidRDefault="00053033" w:rsidP="00387B3F">
            <w:pPr>
              <w:jc w:val="both"/>
              <w:rPr>
                <w:rFonts w:ascii="Arial" w:hAnsi="Arial" w:cs="Arial"/>
                <w:iCs/>
                <w:sz w:val="22"/>
                <w:szCs w:val="22"/>
              </w:rPr>
            </w:pPr>
            <w:r w:rsidRPr="00121C44">
              <w:rPr>
                <w:rFonts w:ascii="Arial" w:hAnsi="Arial" w:cs="Arial"/>
                <w:iCs/>
                <w:sz w:val="22"/>
                <w:szCs w:val="22"/>
              </w:rPr>
              <w:t>0-5</w:t>
            </w:r>
          </w:p>
        </w:tc>
        <w:tc>
          <w:tcPr>
            <w:tcW w:w="1831" w:type="dxa"/>
          </w:tcPr>
          <w:p w:rsidR="00053033" w:rsidRPr="00121C44" w:rsidRDefault="00053033" w:rsidP="00387B3F">
            <w:pPr>
              <w:jc w:val="both"/>
              <w:rPr>
                <w:rFonts w:ascii="Arial" w:hAnsi="Arial" w:cs="Arial"/>
                <w:iCs/>
                <w:sz w:val="22"/>
                <w:szCs w:val="22"/>
              </w:rPr>
            </w:pPr>
            <w:r w:rsidRPr="00121C44">
              <w:rPr>
                <w:rFonts w:ascii="Arial" w:hAnsi="Arial" w:cs="Arial"/>
                <w:iCs/>
                <w:sz w:val="22"/>
                <w:szCs w:val="22"/>
              </w:rPr>
              <w:t>1.482</w:t>
            </w:r>
          </w:p>
        </w:tc>
        <w:tc>
          <w:tcPr>
            <w:tcW w:w="1832" w:type="dxa"/>
          </w:tcPr>
          <w:p w:rsidR="00053033" w:rsidRPr="00121C44" w:rsidRDefault="00053033" w:rsidP="00387B3F">
            <w:pPr>
              <w:jc w:val="both"/>
              <w:rPr>
                <w:rFonts w:ascii="Arial" w:hAnsi="Arial" w:cs="Arial"/>
                <w:iCs/>
                <w:sz w:val="22"/>
                <w:szCs w:val="22"/>
              </w:rPr>
            </w:pPr>
            <w:r w:rsidRPr="00121C44">
              <w:rPr>
                <w:rFonts w:ascii="Arial" w:hAnsi="Arial" w:cs="Arial"/>
                <w:iCs/>
                <w:sz w:val="22"/>
                <w:szCs w:val="22"/>
              </w:rPr>
              <w:t>1.461</w:t>
            </w:r>
          </w:p>
        </w:tc>
        <w:tc>
          <w:tcPr>
            <w:tcW w:w="1832" w:type="dxa"/>
          </w:tcPr>
          <w:p w:rsidR="00053033" w:rsidRPr="00121C44" w:rsidRDefault="00053033" w:rsidP="00387B3F">
            <w:pPr>
              <w:jc w:val="both"/>
              <w:rPr>
                <w:rFonts w:ascii="Arial" w:hAnsi="Arial" w:cs="Arial"/>
                <w:iCs/>
                <w:sz w:val="22"/>
                <w:szCs w:val="22"/>
              </w:rPr>
            </w:pPr>
            <w:r w:rsidRPr="00121C44">
              <w:rPr>
                <w:rFonts w:ascii="Arial" w:hAnsi="Arial" w:cs="Arial"/>
                <w:iCs/>
                <w:sz w:val="22"/>
                <w:szCs w:val="22"/>
              </w:rPr>
              <w:t>67.451,05</w:t>
            </w:r>
          </w:p>
        </w:tc>
        <w:tc>
          <w:tcPr>
            <w:tcW w:w="1832" w:type="dxa"/>
          </w:tcPr>
          <w:p w:rsidR="00053033" w:rsidRPr="00121C44" w:rsidRDefault="00053033" w:rsidP="00387B3F">
            <w:pPr>
              <w:jc w:val="both"/>
              <w:rPr>
                <w:rFonts w:ascii="Arial" w:hAnsi="Arial" w:cs="Arial"/>
                <w:iCs/>
                <w:sz w:val="22"/>
                <w:szCs w:val="22"/>
              </w:rPr>
            </w:pPr>
            <w:r w:rsidRPr="00121C44">
              <w:rPr>
                <w:rFonts w:ascii="Arial" w:hAnsi="Arial" w:cs="Arial"/>
                <w:iCs/>
                <w:sz w:val="22"/>
                <w:szCs w:val="22"/>
              </w:rPr>
              <w:t>66.557,43</w:t>
            </w:r>
          </w:p>
        </w:tc>
      </w:tr>
    </w:tbl>
    <w:p w:rsidR="00053033" w:rsidRPr="00121C44" w:rsidRDefault="00053033" w:rsidP="00053033">
      <w:pPr>
        <w:jc w:val="both"/>
        <w:rPr>
          <w:rFonts w:ascii="Arial" w:hAnsi="Arial" w:cs="Arial"/>
          <w:iCs/>
          <w:sz w:val="22"/>
          <w:szCs w:val="22"/>
        </w:rPr>
      </w:pPr>
      <w:r w:rsidRPr="00121C44">
        <w:rPr>
          <w:rFonts w:ascii="Arial" w:hAnsi="Arial" w:cs="Arial"/>
          <w:iCs/>
          <w:sz w:val="22"/>
          <w:szCs w:val="22"/>
        </w:rPr>
        <w:t xml:space="preserve"> </w:t>
      </w:r>
    </w:p>
    <w:p w:rsidR="00053033" w:rsidRPr="00053033" w:rsidRDefault="00053033" w:rsidP="00053033">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 xml:space="preserve">Utilizando o desconto proposto (40%) sob esse cenário e somando-se com a faixa que consumo 6-10m³ que se permanecerá intacta, temos a previsão de um faturamento médio mensal de R$ 125.018,63 (soma água e esgoto) para a autarquia. </w:t>
      </w:r>
    </w:p>
    <w:p w:rsidR="00053033" w:rsidRPr="00053033" w:rsidRDefault="00053033" w:rsidP="00053033">
      <w:pPr>
        <w:spacing w:line="276" w:lineRule="auto"/>
        <w:jc w:val="both"/>
        <w:rPr>
          <w:rFonts w:ascii="Calibri" w:eastAsia="Calibri" w:hAnsi="Calibri" w:cs="Calibri"/>
          <w:sz w:val="26"/>
          <w:szCs w:val="26"/>
        </w:rPr>
      </w:pPr>
    </w:p>
    <w:p w:rsidR="00053033" w:rsidRPr="00121C44" w:rsidRDefault="00053033" w:rsidP="00053033">
      <w:pPr>
        <w:jc w:val="both"/>
        <w:rPr>
          <w:rFonts w:ascii="Arial" w:hAnsi="Arial" w:cs="Arial"/>
          <w:bCs/>
          <w:iCs/>
          <w:sz w:val="24"/>
        </w:rPr>
      </w:pPr>
    </w:p>
    <w:tbl>
      <w:tblPr>
        <w:tblStyle w:val="Tabelacomgrade"/>
        <w:tblW w:w="0" w:type="auto"/>
        <w:tblLook w:val="04A0" w:firstRow="1" w:lastRow="0" w:firstColumn="1" w:lastColumn="0" w:noHBand="0" w:noVBand="1"/>
      </w:tblPr>
      <w:tblGrid>
        <w:gridCol w:w="1831"/>
        <w:gridCol w:w="1831"/>
        <w:gridCol w:w="1832"/>
        <w:gridCol w:w="1832"/>
        <w:gridCol w:w="1832"/>
      </w:tblGrid>
      <w:tr w:rsidR="00053033" w:rsidRPr="00121C44" w:rsidTr="00387B3F">
        <w:tc>
          <w:tcPr>
            <w:tcW w:w="1831" w:type="dxa"/>
          </w:tcPr>
          <w:p w:rsidR="00053033" w:rsidRPr="00121C44" w:rsidRDefault="00053033" w:rsidP="00387B3F">
            <w:pPr>
              <w:jc w:val="both"/>
              <w:rPr>
                <w:rFonts w:ascii="Arial" w:hAnsi="Arial" w:cs="Arial"/>
                <w:bCs/>
                <w:iCs/>
                <w:szCs w:val="16"/>
              </w:rPr>
            </w:pPr>
            <w:proofErr w:type="gramStart"/>
            <w:r w:rsidRPr="00121C44">
              <w:rPr>
                <w:rFonts w:ascii="Arial" w:hAnsi="Arial" w:cs="Arial"/>
                <w:b/>
                <w:bCs/>
                <w:iCs/>
                <w:szCs w:val="16"/>
              </w:rPr>
              <w:t>m</w:t>
            </w:r>
            <w:proofErr w:type="gramEnd"/>
            <w:r w:rsidRPr="00121C44">
              <w:rPr>
                <w:rFonts w:ascii="Arial" w:hAnsi="Arial" w:cs="Arial"/>
                <w:b/>
                <w:bCs/>
                <w:iCs/>
                <w:szCs w:val="16"/>
              </w:rPr>
              <w:t>³</w:t>
            </w:r>
          </w:p>
        </w:tc>
        <w:tc>
          <w:tcPr>
            <w:tcW w:w="1831" w:type="dxa"/>
          </w:tcPr>
          <w:p w:rsidR="00053033" w:rsidRPr="00121C44" w:rsidRDefault="00053033" w:rsidP="00387B3F">
            <w:pPr>
              <w:jc w:val="both"/>
              <w:rPr>
                <w:rFonts w:ascii="Arial" w:hAnsi="Arial" w:cs="Arial"/>
                <w:bCs/>
                <w:iCs/>
                <w:szCs w:val="16"/>
              </w:rPr>
            </w:pPr>
            <w:r w:rsidRPr="00121C44">
              <w:rPr>
                <w:rFonts w:ascii="Arial" w:hAnsi="Arial" w:cs="Arial"/>
                <w:b/>
                <w:bCs/>
                <w:iCs/>
                <w:szCs w:val="16"/>
              </w:rPr>
              <w:t xml:space="preserve">Econ. </w:t>
            </w:r>
            <w:r w:rsidR="00457DA0" w:rsidRPr="00121C44">
              <w:rPr>
                <w:rFonts w:ascii="Arial" w:hAnsi="Arial" w:cs="Arial"/>
                <w:b/>
                <w:bCs/>
                <w:iCs/>
                <w:szCs w:val="16"/>
              </w:rPr>
              <w:t>Á</w:t>
            </w:r>
            <w:r w:rsidRPr="00121C44">
              <w:rPr>
                <w:rFonts w:ascii="Arial" w:hAnsi="Arial" w:cs="Arial"/>
                <w:b/>
                <w:bCs/>
                <w:iCs/>
                <w:szCs w:val="16"/>
              </w:rPr>
              <w:t>gua</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
                <w:bCs/>
                <w:iCs/>
                <w:szCs w:val="16"/>
              </w:rPr>
              <w:t>Econ. Esgoto</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
                <w:bCs/>
                <w:iCs/>
                <w:szCs w:val="16"/>
              </w:rPr>
              <w:t xml:space="preserve">R$ Água </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
                <w:bCs/>
                <w:iCs/>
                <w:szCs w:val="16"/>
              </w:rPr>
              <w:t>R$ Esgoto</w:t>
            </w:r>
          </w:p>
        </w:tc>
      </w:tr>
      <w:tr w:rsidR="00053033" w:rsidRPr="00121C44" w:rsidTr="00387B3F">
        <w:tc>
          <w:tcPr>
            <w:tcW w:w="1831" w:type="dxa"/>
          </w:tcPr>
          <w:p w:rsidR="00053033" w:rsidRPr="00121C44" w:rsidRDefault="00053033" w:rsidP="00387B3F">
            <w:pPr>
              <w:jc w:val="both"/>
              <w:rPr>
                <w:rFonts w:ascii="Arial" w:hAnsi="Arial" w:cs="Arial"/>
                <w:b/>
                <w:iCs/>
                <w:szCs w:val="16"/>
              </w:rPr>
            </w:pPr>
            <w:r w:rsidRPr="00121C44">
              <w:rPr>
                <w:rFonts w:ascii="Arial" w:hAnsi="Arial" w:cs="Arial"/>
                <w:b/>
                <w:iCs/>
                <w:szCs w:val="16"/>
              </w:rPr>
              <w:t>0-5 – Com desconto</w:t>
            </w:r>
          </w:p>
        </w:tc>
        <w:tc>
          <w:tcPr>
            <w:tcW w:w="1831" w:type="dxa"/>
          </w:tcPr>
          <w:p w:rsidR="00053033" w:rsidRPr="00121C44" w:rsidRDefault="00053033" w:rsidP="00387B3F">
            <w:pPr>
              <w:jc w:val="both"/>
              <w:rPr>
                <w:rFonts w:ascii="Arial" w:hAnsi="Arial" w:cs="Arial"/>
                <w:bCs/>
                <w:iCs/>
                <w:szCs w:val="16"/>
              </w:rPr>
            </w:pPr>
            <w:r w:rsidRPr="00121C44">
              <w:rPr>
                <w:rFonts w:ascii="Arial" w:hAnsi="Arial" w:cs="Arial"/>
                <w:iCs/>
                <w:szCs w:val="16"/>
              </w:rPr>
              <w:t>1.482</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iCs/>
                <w:szCs w:val="16"/>
              </w:rPr>
              <w:t>1.461</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40.471,05</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39.934,46</w:t>
            </w:r>
          </w:p>
        </w:tc>
      </w:tr>
      <w:tr w:rsidR="00053033" w:rsidRPr="00121C44" w:rsidTr="00387B3F">
        <w:tc>
          <w:tcPr>
            <w:tcW w:w="1831"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6-10 – Sem desconto</w:t>
            </w:r>
          </w:p>
        </w:tc>
        <w:tc>
          <w:tcPr>
            <w:tcW w:w="1831"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494</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485</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22.510,71</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22.102,41</w:t>
            </w:r>
          </w:p>
        </w:tc>
      </w:tr>
      <w:tr w:rsidR="00053033" w:rsidRPr="00121C44" w:rsidTr="00387B3F">
        <w:tc>
          <w:tcPr>
            <w:tcW w:w="1831" w:type="dxa"/>
          </w:tcPr>
          <w:p w:rsidR="00053033" w:rsidRPr="00121C44" w:rsidRDefault="00053033" w:rsidP="00387B3F">
            <w:pPr>
              <w:jc w:val="both"/>
              <w:rPr>
                <w:rFonts w:ascii="Arial" w:hAnsi="Arial" w:cs="Arial"/>
                <w:b/>
                <w:iCs/>
                <w:szCs w:val="16"/>
              </w:rPr>
            </w:pPr>
            <w:r w:rsidRPr="00121C44">
              <w:rPr>
                <w:rFonts w:ascii="Arial" w:hAnsi="Arial" w:cs="Arial"/>
                <w:b/>
                <w:iCs/>
                <w:szCs w:val="16"/>
              </w:rPr>
              <w:t xml:space="preserve">Total </w:t>
            </w:r>
          </w:p>
        </w:tc>
        <w:tc>
          <w:tcPr>
            <w:tcW w:w="1831"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1.976</w:t>
            </w:r>
          </w:p>
        </w:tc>
        <w:tc>
          <w:tcPr>
            <w:tcW w:w="1832" w:type="dxa"/>
          </w:tcPr>
          <w:p w:rsidR="00053033" w:rsidRPr="00121C44" w:rsidRDefault="00053033" w:rsidP="00387B3F">
            <w:pPr>
              <w:rPr>
                <w:rFonts w:ascii="Arial" w:hAnsi="Arial" w:cs="Arial"/>
                <w:bCs/>
                <w:iCs/>
                <w:szCs w:val="16"/>
              </w:rPr>
            </w:pPr>
            <w:r w:rsidRPr="00121C44">
              <w:rPr>
                <w:rFonts w:ascii="Arial" w:hAnsi="Arial" w:cs="Arial"/>
                <w:bCs/>
                <w:iCs/>
                <w:szCs w:val="16"/>
              </w:rPr>
              <w:t>1.946</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62.981,76</w:t>
            </w:r>
          </w:p>
        </w:tc>
        <w:tc>
          <w:tcPr>
            <w:tcW w:w="1832" w:type="dxa"/>
          </w:tcPr>
          <w:p w:rsidR="00053033" w:rsidRPr="00121C44" w:rsidRDefault="00053033" w:rsidP="00387B3F">
            <w:pPr>
              <w:jc w:val="both"/>
              <w:rPr>
                <w:rFonts w:ascii="Arial" w:hAnsi="Arial" w:cs="Arial"/>
                <w:bCs/>
                <w:iCs/>
                <w:szCs w:val="16"/>
              </w:rPr>
            </w:pPr>
            <w:r w:rsidRPr="00121C44">
              <w:rPr>
                <w:rFonts w:ascii="Arial" w:hAnsi="Arial" w:cs="Arial"/>
                <w:bCs/>
                <w:iCs/>
                <w:szCs w:val="16"/>
              </w:rPr>
              <w:t>62.036,87</w:t>
            </w:r>
          </w:p>
        </w:tc>
      </w:tr>
    </w:tbl>
    <w:p w:rsidR="00053033" w:rsidRPr="00053033" w:rsidRDefault="00053033" w:rsidP="00053033">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Desta forma, temos uma diferença/redução de aproximadamente R$ 53.603,68 de arrecadação mensal. Extrapolando-se este valor para a previsão de duração do desconto em pauta, temos um valor total de R$ 321.622,08 (equivalente a 6 meses).</w:t>
      </w:r>
    </w:p>
    <w:p w:rsidR="00053033" w:rsidRPr="00053033" w:rsidRDefault="00053033" w:rsidP="00053033">
      <w:pPr>
        <w:spacing w:line="276" w:lineRule="auto"/>
        <w:jc w:val="both"/>
        <w:rPr>
          <w:rFonts w:ascii="Calibri" w:eastAsia="Calibri" w:hAnsi="Calibri" w:cs="Calibri"/>
          <w:sz w:val="26"/>
          <w:szCs w:val="26"/>
        </w:rPr>
      </w:pPr>
    </w:p>
    <w:p w:rsidR="00053033" w:rsidRPr="00053033" w:rsidRDefault="00053033" w:rsidP="0005303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 xml:space="preserve">Importante ressaltar que segundo informações da própria autarquia, tal medida se faz compatível com o orçamento do SAAE, mesmo diante do índice de inadimplência atual (média de 90 dias em 9%), sendo suportado graças aos valores disponíveis no caixa, oriundos principalmente do </w:t>
      </w:r>
      <w:proofErr w:type="spellStart"/>
      <w:r w:rsidRPr="00053033">
        <w:rPr>
          <w:rFonts w:ascii="Calibri" w:eastAsia="Calibri" w:hAnsi="Calibri" w:cs="Calibri"/>
          <w:sz w:val="26"/>
          <w:szCs w:val="26"/>
        </w:rPr>
        <w:t>superavit</w:t>
      </w:r>
      <w:proofErr w:type="spellEnd"/>
      <w:r w:rsidRPr="00053033">
        <w:rPr>
          <w:rFonts w:ascii="Calibri" w:eastAsia="Calibri" w:hAnsi="Calibri" w:cs="Calibri"/>
          <w:sz w:val="26"/>
          <w:szCs w:val="26"/>
        </w:rPr>
        <w:t xml:space="preserve"> financeiro observado no exercício de 2020, não afetando a execução orçamentária prevista para este ano.</w:t>
      </w:r>
    </w:p>
    <w:p w:rsidR="00053033" w:rsidRPr="00053033" w:rsidRDefault="00053033" w:rsidP="00053033">
      <w:pPr>
        <w:spacing w:line="276" w:lineRule="auto"/>
        <w:jc w:val="both"/>
        <w:rPr>
          <w:rFonts w:ascii="Calibri" w:eastAsia="Calibri" w:hAnsi="Calibri" w:cs="Calibri"/>
          <w:sz w:val="26"/>
          <w:szCs w:val="26"/>
        </w:rPr>
      </w:pPr>
    </w:p>
    <w:p w:rsidR="00481929" w:rsidRPr="00782C83" w:rsidRDefault="00053033" w:rsidP="00782C83">
      <w:pPr>
        <w:spacing w:line="276" w:lineRule="auto"/>
        <w:ind w:firstLine="720"/>
        <w:jc w:val="both"/>
        <w:rPr>
          <w:rFonts w:ascii="Calibri" w:eastAsia="Calibri" w:hAnsi="Calibri" w:cs="Calibri"/>
          <w:sz w:val="26"/>
          <w:szCs w:val="26"/>
        </w:rPr>
      </w:pPr>
      <w:r w:rsidRPr="00053033">
        <w:rPr>
          <w:rFonts w:ascii="Calibri" w:eastAsia="Calibri" w:hAnsi="Calibri" w:cs="Calibri"/>
          <w:sz w:val="26"/>
          <w:szCs w:val="26"/>
        </w:rPr>
        <w:t xml:space="preserve">Diante do exposto, levando em consideração que a medida proposta não trará desequilíbrio financeiro para a autarquia, não </w:t>
      </w:r>
      <w:r>
        <w:rPr>
          <w:rFonts w:ascii="Calibri" w:eastAsia="Calibri" w:hAnsi="Calibri" w:cs="Calibri"/>
          <w:sz w:val="26"/>
          <w:szCs w:val="26"/>
        </w:rPr>
        <w:t xml:space="preserve">se encontra </w:t>
      </w:r>
      <w:r w:rsidR="00782C83">
        <w:rPr>
          <w:rFonts w:ascii="Calibri" w:eastAsia="Calibri" w:hAnsi="Calibri" w:cs="Calibri"/>
          <w:sz w:val="26"/>
          <w:szCs w:val="26"/>
        </w:rPr>
        <w:t>óbice</w:t>
      </w:r>
      <w:r w:rsidRPr="00053033">
        <w:rPr>
          <w:rFonts w:ascii="Calibri" w:eastAsia="Calibri" w:hAnsi="Calibri" w:cs="Calibri"/>
          <w:sz w:val="26"/>
          <w:szCs w:val="26"/>
        </w:rPr>
        <w:t xml:space="preserve"> para que o projeto </w:t>
      </w:r>
      <w:r w:rsidRPr="00053033">
        <w:rPr>
          <w:rFonts w:ascii="Calibri" w:eastAsia="Calibri" w:hAnsi="Calibri" w:cs="Calibri"/>
          <w:sz w:val="26"/>
          <w:szCs w:val="26"/>
        </w:rPr>
        <w:lastRenderedPageBreak/>
        <w:t>prospere sob o ponto de vista financeiro. Entretanto, alertamos quanto a informação apresentada no estudo de impacto financeiro, para que as medidas</w:t>
      </w:r>
      <w:r>
        <w:rPr>
          <w:rFonts w:ascii="Calibri" w:eastAsia="Calibri" w:hAnsi="Calibri" w:cs="Calibri"/>
          <w:sz w:val="26"/>
          <w:szCs w:val="26"/>
        </w:rPr>
        <w:t xml:space="preserve"> adotadas não excedam o período</w:t>
      </w:r>
      <w:r w:rsidRPr="00053033">
        <w:rPr>
          <w:rFonts w:ascii="Calibri" w:eastAsia="Calibri" w:hAnsi="Calibri" w:cs="Calibri"/>
          <w:sz w:val="26"/>
          <w:szCs w:val="26"/>
        </w:rPr>
        <w:t xml:space="preserve"> máximo de seis (06) meses.</w:t>
      </w:r>
    </w:p>
    <w:p w:rsidR="00481929" w:rsidRDefault="00481929" w:rsidP="005043C4">
      <w:pPr>
        <w:spacing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CB4F89" w:rsidRDefault="00481929" w:rsidP="00CB4F89">
      <w:pPr>
        <w:spacing w:line="276" w:lineRule="auto"/>
        <w:ind w:firstLine="709"/>
        <w:jc w:val="both"/>
        <w:rPr>
          <w:rFonts w:ascii="Calibri" w:eastAsia="Calibri" w:hAnsi="Calibri" w:cs="Calibri"/>
          <w:b/>
          <w:sz w:val="26"/>
          <w:szCs w:val="26"/>
        </w:rPr>
      </w:pPr>
      <w:r>
        <w:rPr>
          <w:rFonts w:ascii="Calibri" w:eastAsia="Calibri" w:hAnsi="Calibri" w:cs="Calibri"/>
          <w:sz w:val="26"/>
          <w:szCs w:val="26"/>
        </w:rPr>
        <w:t>Conclui-se, portanto, que o projeto carrega consigo os elementos meritórios necessários para aprovação por esta Casa, buscando solução parcial a dilemas sociais presentes sem ferir a prudência econômica necessária, e agindo de acordo com as diretrizes de saneamento básico, é informado a esta Casa de Leis que o Projeto de Lei 31/21 deve ser aprovado, mantendo-se as emendas apresentadas que garantem sua legalidade.</w:t>
      </w:r>
    </w:p>
    <w:p w:rsidR="00CB4F89" w:rsidRDefault="00CB4F89" w:rsidP="00CB4F89">
      <w:pPr>
        <w:spacing w:line="276" w:lineRule="auto"/>
        <w:ind w:firstLine="709"/>
        <w:jc w:val="both"/>
        <w:rPr>
          <w:rFonts w:ascii="Calibri" w:eastAsia="Calibri" w:hAnsi="Calibri" w:cs="Calibri"/>
          <w:b/>
          <w:sz w:val="26"/>
          <w:szCs w:val="26"/>
        </w:rPr>
      </w:pPr>
    </w:p>
    <w:p w:rsidR="004843C1" w:rsidRDefault="004843C1" w:rsidP="00481929">
      <w:pPr>
        <w:spacing w:line="276" w:lineRule="auto"/>
        <w:jc w:val="both"/>
        <w:rPr>
          <w:rFonts w:ascii="Calibri" w:eastAsia="Calibri" w:hAnsi="Calibri" w:cs="Calibri"/>
          <w:sz w:val="26"/>
          <w:szCs w:val="26"/>
        </w:rPr>
      </w:pPr>
    </w:p>
    <w:p w:rsidR="00F20801" w:rsidRDefault="00F20801" w:rsidP="00CB4F89">
      <w:pPr>
        <w:spacing w:line="276" w:lineRule="auto"/>
        <w:jc w:val="both"/>
        <w:rPr>
          <w:rFonts w:ascii="Calibri" w:eastAsia="Calibri" w:hAnsi="Calibri" w:cs="Calibri"/>
          <w:sz w:val="26"/>
          <w:szCs w:val="26"/>
        </w:rPr>
      </w:pPr>
    </w:p>
    <w:p w:rsidR="00F20801" w:rsidRDefault="00497870">
      <w:pPr>
        <w:spacing w:line="276" w:lineRule="auto"/>
        <w:jc w:val="both"/>
        <w:rPr>
          <w:rFonts w:ascii="Calibri" w:eastAsia="Calibri" w:hAnsi="Calibri" w:cs="Calibri"/>
          <w:b/>
          <w:sz w:val="26"/>
          <w:szCs w:val="26"/>
        </w:rPr>
      </w:pPr>
      <w:r>
        <w:rPr>
          <w:rFonts w:ascii="Calibri" w:eastAsia="Calibri" w:hAnsi="Calibri" w:cs="Calibri"/>
          <w:b/>
          <w:sz w:val="26"/>
          <w:szCs w:val="26"/>
        </w:rPr>
        <w:t>III. Substitutivos, Emendas ou subemendas ao Projeto</w:t>
      </w:r>
    </w:p>
    <w:p w:rsidR="00F20801" w:rsidRDefault="00F20801">
      <w:pPr>
        <w:spacing w:line="276" w:lineRule="auto"/>
        <w:jc w:val="both"/>
        <w:rPr>
          <w:rFonts w:ascii="Calibri" w:eastAsia="Calibri" w:hAnsi="Calibri" w:cs="Calibri"/>
          <w:sz w:val="26"/>
          <w:szCs w:val="26"/>
        </w:rPr>
      </w:pPr>
    </w:p>
    <w:p w:rsidR="00F20801" w:rsidRDefault="00497870">
      <w:pPr>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t xml:space="preserve">A Comissão </w:t>
      </w:r>
      <w:r w:rsidR="00CD3072">
        <w:rPr>
          <w:rFonts w:ascii="Calibri" w:eastAsia="Calibri" w:hAnsi="Calibri" w:cs="Calibri"/>
          <w:sz w:val="26"/>
          <w:szCs w:val="26"/>
        </w:rPr>
        <w:t>propõe emenda modificativa ao Artigo 1° do Projeto de Lei n°31/21, que passa à seguinte forma:</w:t>
      </w:r>
    </w:p>
    <w:p w:rsidR="00CD3072" w:rsidRDefault="00CD3072">
      <w:pPr>
        <w:spacing w:line="276" w:lineRule="auto"/>
        <w:jc w:val="both"/>
        <w:rPr>
          <w:rFonts w:ascii="Calibri" w:eastAsia="Calibri" w:hAnsi="Calibri" w:cs="Calibri"/>
          <w:sz w:val="26"/>
          <w:szCs w:val="26"/>
        </w:rPr>
      </w:pPr>
    </w:p>
    <w:p w:rsidR="00CD3072" w:rsidRDefault="00CD3072" w:rsidP="00CD3072">
      <w:pPr>
        <w:spacing w:line="276" w:lineRule="auto"/>
        <w:ind w:left="1440" w:firstLine="720"/>
        <w:jc w:val="both"/>
        <w:rPr>
          <w:rFonts w:ascii="Calibri" w:eastAsia="Calibri" w:hAnsi="Calibri" w:cs="Calibri"/>
          <w:sz w:val="26"/>
          <w:szCs w:val="26"/>
        </w:rPr>
      </w:pPr>
      <w:r w:rsidRPr="00CD3072">
        <w:rPr>
          <w:rFonts w:ascii="Calibri" w:eastAsia="Calibri" w:hAnsi="Calibri" w:cs="Calibri"/>
          <w:sz w:val="26"/>
          <w:szCs w:val="26"/>
        </w:rPr>
        <w:t xml:space="preserve">Art. 1º Fica o Serviço Autônomo de Água e Esgotos de Mogi Mirim (SAAE) autorizado a conceder 40% (quarenta por cento) de desconto na tarifa mínima de água, esgoto e tratamento de esgoto dos consumidores da categoria comercial que consumirem até 5m³ (cinco metros cúbicos) ao mês, durante o prazo máximo </w:t>
      </w:r>
      <w:r>
        <w:rPr>
          <w:rFonts w:ascii="Calibri" w:eastAsia="Calibri" w:hAnsi="Calibri" w:cs="Calibri"/>
          <w:sz w:val="26"/>
          <w:szCs w:val="26"/>
        </w:rPr>
        <w:t>de seis meses, vigentes dentro do período estipulado no</w:t>
      </w:r>
      <w:r w:rsidRPr="00CD3072">
        <w:rPr>
          <w:rFonts w:ascii="Calibri" w:eastAsia="Calibri" w:hAnsi="Calibri" w:cs="Calibri"/>
          <w:sz w:val="26"/>
          <w:szCs w:val="26"/>
        </w:rPr>
        <w:t xml:space="preserve"> Decreto de Calamidade Pública Municipal</w:t>
      </w:r>
      <w:r>
        <w:rPr>
          <w:rFonts w:ascii="Calibri" w:eastAsia="Calibri" w:hAnsi="Calibri" w:cs="Calibri"/>
          <w:sz w:val="26"/>
          <w:szCs w:val="26"/>
        </w:rPr>
        <w:t xml:space="preserve"> e</w:t>
      </w:r>
      <w:r w:rsidRPr="00CD3072">
        <w:rPr>
          <w:rFonts w:ascii="Calibri" w:eastAsia="Calibri" w:hAnsi="Calibri" w:cs="Calibri"/>
          <w:sz w:val="26"/>
          <w:szCs w:val="26"/>
        </w:rPr>
        <w:t xml:space="preserve"> na Resolução da Agência Reguladora.</w:t>
      </w:r>
    </w:p>
    <w:p w:rsidR="00F20801" w:rsidRDefault="00F20801">
      <w:pPr>
        <w:spacing w:line="276" w:lineRule="auto"/>
        <w:jc w:val="both"/>
        <w:rPr>
          <w:rFonts w:ascii="Calibri" w:eastAsia="Calibri" w:hAnsi="Calibri" w:cs="Calibri"/>
          <w:sz w:val="26"/>
          <w:szCs w:val="26"/>
        </w:rPr>
      </w:pPr>
    </w:p>
    <w:p w:rsidR="00F20801" w:rsidRDefault="00497870">
      <w:pPr>
        <w:spacing w:line="276" w:lineRule="auto"/>
        <w:jc w:val="both"/>
        <w:rPr>
          <w:rFonts w:ascii="Calibri" w:eastAsia="Calibri" w:hAnsi="Calibri" w:cs="Calibri"/>
          <w:b/>
          <w:sz w:val="26"/>
          <w:szCs w:val="26"/>
        </w:rPr>
      </w:pPr>
      <w:r>
        <w:rPr>
          <w:rFonts w:ascii="Calibri" w:eastAsia="Calibri" w:hAnsi="Calibri" w:cs="Calibri"/>
          <w:b/>
          <w:sz w:val="26"/>
          <w:szCs w:val="26"/>
        </w:rPr>
        <w:t xml:space="preserve">IV. Decisão da Comissão </w:t>
      </w:r>
    </w:p>
    <w:p w:rsidR="00F20801" w:rsidRDefault="00F20801"/>
    <w:p w:rsidR="00F20801" w:rsidRDefault="00497870">
      <w:pPr>
        <w:spacing w:line="276" w:lineRule="auto"/>
        <w:ind w:firstLine="709"/>
        <w:jc w:val="both"/>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z w:val="26"/>
          <w:szCs w:val="26"/>
          <w:highlight w:val="white"/>
        </w:rPr>
        <w:t xml:space="preserve">ortanto, </w:t>
      </w:r>
      <w:r w:rsidR="005043C4">
        <w:rPr>
          <w:rFonts w:ascii="Calibri" w:eastAsia="Calibri" w:hAnsi="Calibri" w:cs="Calibri"/>
          <w:sz w:val="26"/>
          <w:szCs w:val="26"/>
          <w:highlight w:val="white"/>
        </w:rPr>
        <w:t xml:space="preserve">mediante inclusão de emenda modificativa viabilizando a tramitação do projeto, inexistem óbices ao processo, seja por vício jurídico ou impeditivo financeiro. Considerando os méritos devidos ao bem-estar social, ganhos ao setor comercial e valorização do saneamento básico, é encaminhado </w:t>
      </w:r>
      <w:r w:rsidR="005043C4">
        <w:rPr>
          <w:rFonts w:ascii="Calibri" w:eastAsia="Calibri" w:hAnsi="Calibri" w:cs="Calibri"/>
          <w:sz w:val="26"/>
          <w:szCs w:val="26"/>
        </w:rPr>
        <w:t xml:space="preserve">de forma conjunta pelas comissões este parecer para apreciação e deliberação do </w:t>
      </w:r>
      <w:r>
        <w:rPr>
          <w:rFonts w:ascii="Calibri" w:eastAsia="Calibri" w:hAnsi="Calibri" w:cs="Calibri"/>
          <w:sz w:val="26"/>
          <w:szCs w:val="26"/>
        </w:rPr>
        <w:t>Douto Plenário.</w:t>
      </w:r>
    </w:p>
    <w:p w:rsidR="00F20801" w:rsidRDefault="00F20801">
      <w:pPr>
        <w:spacing w:line="276" w:lineRule="auto"/>
        <w:jc w:val="center"/>
        <w:rPr>
          <w:rFonts w:ascii="Calibri" w:eastAsia="Calibri" w:hAnsi="Calibri" w:cs="Calibri"/>
          <w:sz w:val="26"/>
          <w:szCs w:val="26"/>
        </w:rPr>
      </w:pPr>
    </w:p>
    <w:p w:rsidR="00F20801" w:rsidRDefault="005043C4">
      <w:pPr>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Sala das Comissões, em 11 de ABRIL de 2</w:t>
      </w:r>
      <w:r w:rsidR="00497870">
        <w:rPr>
          <w:rFonts w:ascii="Calibri" w:eastAsia="Calibri" w:hAnsi="Calibri" w:cs="Calibri"/>
          <w:sz w:val="26"/>
          <w:szCs w:val="26"/>
          <w:highlight w:val="white"/>
        </w:rPr>
        <w:t>021.</w:t>
      </w:r>
    </w:p>
    <w:p w:rsidR="00F20801" w:rsidRDefault="00F20801">
      <w:pPr>
        <w:spacing w:line="360" w:lineRule="auto"/>
        <w:jc w:val="center"/>
        <w:rPr>
          <w:rFonts w:ascii="Calibri" w:eastAsia="Calibri" w:hAnsi="Calibri" w:cs="Calibri"/>
          <w:sz w:val="26"/>
          <w:szCs w:val="26"/>
          <w:highlight w:val="white"/>
          <w:u w:val="single"/>
        </w:rPr>
      </w:pPr>
    </w:p>
    <w:p w:rsidR="003A4055" w:rsidRDefault="003A4055" w:rsidP="002E27CE">
      <w:pPr>
        <w:spacing w:line="360" w:lineRule="auto"/>
        <w:rPr>
          <w:rFonts w:ascii="Calibri" w:eastAsia="Calibri" w:hAnsi="Calibri" w:cs="Calibri"/>
          <w:sz w:val="26"/>
          <w:szCs w:val="26"/>
          <w:highlight w:val="white"/>
          <w:u w:val="single"/>
        </w:rPr>
      </w:pPr>
    </w:p>
    <w:p w:rsidR="00F20801" w:rsidRPr="003A4055" w:rsidRDefault="00497870">
      <w:pPr>
        <w:spacing w:line="360" w:lineRule="auto"/>
        <w:jc w:val="center"/>
        <w:rPr>
          <w:rFonts w:ascii="Calibri" w:eastAsia="Calibri" w:hAnsi="Calibri" w:cs="Calibri"/>
          <w:b/>
          <w:sz w:val="26"/>
          <w:szCs w:val="26"/>
          <w:highlight w:val="white"/>
          <w:u w:val="single"/>
        </w:rPr>
      </w:pPr>
      <w:r w:rsidRPr="003A4055">
        <w:rPr>
          <w:rFonts w:ascii="Calibri" w:eastAsia="Calibri" w:hAnsi="Calibri" w:cs="Calibri"/>
          <w:b/>
          <w:sz w:val="26"/>
          <w:szCs w:val="26"/>
          <w:highlight w:val="white"/>
          <w:u w:val="single"/>
        </w:rPr>
        <w:t>COMISSÃO DE JUSTIÇA E REDAÇÃO</w:t>
      </w:r>
    </w:p>
    <w:p w:rsidR="00F20801" w:rsidRDefault="00F20801" w:rsidP="002E27CE">
      <w:pPr>
        <w:spacing w:line="360" w:lineRule="auto"/>
        <w:rPr>
          <w:rFonts w:ascii="Calibri" w:eastAsia="Calibri" w:hAnsi="Calibri" w:cs="Calibri"/>
          <w:sz w:val="26"/>
          <w:szCs w:val="26"/>
          <w:highlight w:val="white"/>
        </w:rPr>
      </w:pP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F20801" w:rsidRDefault="00F20801">
      <w:pPr>
        <w:jc w:val="center"/>
        <w:rPr>
          <w:rFonts w:ascii="Calibri" w:eastAsia="Calibri" w:hAnsi="Calibri" w:cs="Calibri"/>
          <w:sz w:val="26"/>
          <w:szCs w:val="26"/>
          <w:highlight w:val="white"/>
        </w:rPr>
      </w:pPr>
    </w:p>
    <w:p w:rsidR="00F20801" w:rsidRDefault="00F20801">
      <w:pPr>
        <w:jc w:val="center"/>
        <w:rPr>
          <w:rFonts w:ascii="Calibri" w:eastAsia="Calibri" w:hAnsi="Calibri" w:cs="Calibri"/>
          <w:sz w:val="26"/>
          <w:szCs w:val="26"/>
          <w:highlight w:val="white"/>
        </w:rPr>
      </w:pPr>
    </w:p>
    <w:p w:rsidR="00F20801" w:rsidRDefault="00F20801" w:rsidP="003A4055">
      <w:pPr>
        <w:rPr>
          <w:rFonts w:ascii="Calibri" w:eastAsia="Calibri" w:hAnsi="Calibri" w:cs="Calibri"/>
          <w:sz w:val="26"/>
          <w:szCs w:val="26"/>
          <w:highlight w:val="white"/>
        </w:rPr>
      </w:pPr>
    </w:p>
    <w:p w:rsidR="00F20801" w:rsidRDefault="00F20801">
      <w:pPr>
        <w:jc w:val="center"/>
        <w:rPr>
          <w:rFonts w:ascii="Calibri" w:eastAsia="Calibri" w:hAnsi="Calibri" w:cs="Calibri"/>
          <w:sz w:val="26"/>
          <w:szCs w:val="26"/>
          <w:highlight w:val="white"/>
        </w:rPr>
      </w:pP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VEREADOR TIAGO CESAR COSTA</w:t>
      </w: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F20801" w:rsidRDefault="00F20801">
      <w:pPr>
        <w:jc w:val="center"/>
        <w:rPr>
          <w:rFonts w:ascii="Calibri" w:eastAsia="Calibri" w:hAnsi="Calibri" w:cs="Calibri"/>
          <w:sz w:val="26"/>
          <w:szCs w:val="26"/>
          <w:highlight w:val="white"/>
        </w:rPr>
      </w:pPr>
    </w:p>
    <w:p w:rsidR="00F20801" w:rsidRDefault="00F20801">
      <w:pPr>
        <w:jc w:val="center"/>
        <w:rPr>
          <w:rFonts w:ascii="Calibri" w:eastAsia="Calibri" w:hAnsi="Calibri" w:cs="Calibri"/>
          <w:sz w:val="26"/>
          <w:szCs w:val="26"/>
          <w:highlight w:val="white"/>
        </w:rPr>
      </w:pPr>
      <w:bookmarkStart w:id="0" w:name="_GoBack"/>
      <w:bookmarkEnd w:id="0"/>
    </w:p>
    <w:p w:rsidR="00F20801" w:rsidRDefault="00F20801" w:rsidP="003A4055">
      <w:pPr>
        <w:rPr>
          <w:rFonts w:ascii="Calibri" w:eastAsia="Calibri" w:hAnsi="Calibri" w:cs="Calibri"/>
          <w:sz w:val="26"/>
          <w:szCs w:val="26"/>
          <w:highlight w:val="white"/>
        </w:rPr>
      </w:pPr>
    </w:p>
    <w:p w:rsidR="00F20801" w:rsidRDefault="00F20801">
      <w:pPr>
        <w:jc w:val="center"/>
        <w:rPr>
          <w:rFonts w:ascii="Calibri" w:eastAsia="Calibri" w:hAnsi="Calibri" w:cs="Calibri"/>
          <w:sz w:val="26"/>
          <w:szCs w:val="26"/>
          <w:highlight w:val="white"/>
        </w:rPr>
      </w:pP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VEREADOR JOÃO VICTOR GASPARINI</w:t>
      </w:r>
    </w:p>
    <w:p w:rsidR="00F20801" w:rsidRDefault="00497870">
      <w:pPr>
        <w:jc w:val="center"/>
        <w:rPr>
          <w:rFonts w:ascii="Calibri" w:eastAsia="Calibri" w:hAnsi="Calibri" w:cs="Calibri"/>
          <w:sz w:val="26"/>
          <w:szCs w:val="26"/>
          <w:highlight w:val="white"/>
        </w:rPr>
      </w:pPr>
      <w:r>
        <w:rPr>
          <w:rFonts w:ascii="Calibri" w:eastAsia="Calibri" w:hAnsi="Calibri" w:cs="Calibri"/>
          <w:sz w:val="26"/>
          <w:szCs w:val="26"/>
          <w:highlight w:val="white"/>
        </w:rPr>
        <w:t>MEMBRO / RELATOR</w:t>
      </w:r>
    </w:p>
    <w:p w:rsidR="003A4055" w:rsidRDefault="003A4055">
      <w:pPr>
        <w:jc w:val="center"/>
        <w:rPr>
          <w:rFonts w:ascii="Calibri" w:eastAsia="Calibri" w:hAnsi="Calibri" w:cs="Calibri"/>
          <w:sz w:val="26"/>
          <w:szCs w:val="26"/>
          <w:highlight w:val="white"/>
        </w:rPr>
      </w:pPr>
    </w:p>
    <w:p w:rsidR="003A4055" w:rsidRDefault="003A4055">
      <w:pPr>
        <w:jc w:val="center"/>
        <w:rPr>
          <w:rFonts w:ascii="Calibri" w:eastAsia="Calibri" w:hAnsi="Calibri" w:cs="Calibri"/>
          <w:sz w:val="26"/>
          <w:szCs w:val="26"/>
          <w:highlight w:val="white"/>
        </w:rPr>
      </w:pPr>
    </w:p>
    <w:p w:rsidR="003A4055" w:rsidRPr="003A4055" w:rsidRDefault="003A4055" w:rsidP="003A4055">
      <w:pPr>
        <w:spacing w:line="360" w:lineRule="auto"/>
        <w:jc w:val="center"/>
        <w:rPr>
          <w:rFonts w:ascii="Calibri" w:eastAsia="Calibri" w:hAnsi="Calibri" w:cs="Calibri"/>
          <w:b/>
          <w:sz w:val="26"/>
          <w:szCs w:val="26"/>
          <w:highlight w:val="white"/>
          <w:u w:val="single"/>
        </w:rPr>
      </w:pPr>
      <w:r>
        <w:rPr>
          <w:rFonts w:ascii="Calibri" w:eastAsia="Calibri" w:hAnsi="Calibri" w:cs="Calibri"/>
          <w:b/>
          <w:sz w:val="26"/>
          <w:szCs w:val="26"/>
          <w:highlight w:val="white"/>
          <w:u w:val="single"/>
        </w:rPr>
        <w:t>COMISSÃO DE FINANÇAS E ORÇAMENTO</w:t>
      </w:r>
    </w:p>
    <w:p w:rsidR="003A4055" w:rsidRDefault="003A4055">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VEREADOR MARCOS PAULO SEGATTI</w:t>
      </w: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4C49FB" w:rsidRDefault="004C49FB" w:rsidP="004C49FB">
      <w:pPr>
        <w:jc w:val="center"/>
        <w:rPr>
          <w:rFonts w:ascii="Calibri" w:eastAsia="Calibri" w:hAnsi="Calibri" w:cs="Calibri"/>
          <w:sz w:val="26"/>
          <w:szCs w:val="26"/>
          <w:highlight w:val="white"/>
        </w:rPr>
      </w:pPr>
    </w:p>
    <w:p w:rsidR="004C49FB" w:rsidRDefault="004C49FB" w:rsidP="004C49FB">
      <w:pP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VEREADOR ALEXANDRE CINTRA</w:t>
      </w: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4C49FB" w:rsidRDefault="004C49FB" w:rsidP="004C49FB">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p>
    <w:p w:rsidR="004C49FB" w:rsidRDefault="004C49FB" w:rsidP="004C49FB">
      <w:pP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VEREADORA MARA CHOQUETTA</w:t>
      </w:r>
    </w:p>
    <w:p w:rsidR="004C49FB" w:rsidRDefault="004C49FB" w:rsidP="004C49FB">
      <w:pPr>
        <w:jc w:val="center"/>
        <w:rPr>
          <w:rFonts w:ascii="Calibri" w:eastAsia="Calibri" w:hAnsi="Calibri" w:cs="Calibri"/>
          <w:sz w:val="26"/>
          <w:szCs w:val="26"/>
          <w:highlight w:val="white"/>
        </w:rPr>
      </w:pPr>
      <w:r>
        <w:rPr>
          <w:rFonts w:ascii="Calibri" w:eastAsia="Calibri" w:hAnsi="Calibri" w:cs="Calibri"/>
          <w:sz w:val="26"/>
          <w:szCs w:val="26"/>
          <w:highlight w:val="white"/>
        </w:rPr>
        <w:t>MEMBRO / RELATORA</w:t>
      </w:r>
    </w:p>
    <w:p w:rsidR="004C49FB" w:rsidRDefault="004C49FB" w:rsidP="004C49FB">
      <w:pPr>
        <w:jc w:val="center"/>
        <w:rPr>
          <w:rFonts w:ascii="Calibri" w:eastAsia="Calibri" w:hAnsi="Calibri" w:cs="Calibri"/>
          <w:sz w:val="26"/>
          <w:szCs w:val="26"/>
          <w:highlight w:val="white"/>
        </w:rPr>
      </w:pPr>
    </w:p>
    <w:p w:rsidR="004C49FB" w:rsidRDefault="004C49FB" w:rsidP="004C49FB"/>
    <w:p w:rsidR="004C49FB" w:rsidRDefault="004C49FB" w:rsidP="004C49FB">
      <w:pPr>
        <w:spacing w:line="360" w:lineRule="auto"/>
        <w:rPr>
          <w:rFonts w:ascii="Arial" w:eastAsia="Arial" w:hAnsi="Arial" w:cs="Arial"/>
          <w:sz w:val="24"/>
          <w:szCs w:val="24"/>
        </w:rPr>
      </w:pPr>
    </w:p>
    <w:p w:rsidR="00F20801" w:rsidRDefault="00F20801">
      <w:pPr>
        <w:jc w:val="center"/>
      </w:pPr>
    </w:p>
    <w:p w:rsidR="003A4055" w:rsidRDefault="003A4055">
      <w:pPr>
        <w:jc w:val="center"/>
      </w:pPr>
    </w:p>
    <w:p w:rsidR="003A4055" w:rsidRDefault="003A4055" w:rsidP="003A4055">
      <w:pPr>
        <w:jc w:val="center"/>
        <w:rPr>
          <w:rFonts w:ascii="Calibri" w:eastAsia="Calibri" w:hAnsi="Calibri" w:cs="Calibri"/>
          <w:sz w:val="26"/>
          <w:szCs w:val="26"/>
          <w:highlight w:val="white"/>
        </w:rPr>
      </w:pPr>
    </w:p>
    <w:p w:rsidR="003A4055" w:rsidRDefault="003A4055"/>
    <w:p w:rsidR="002E27CE" w:rsidRPr="002E27CE" w:rsidRDefault="002E27CE" w:rsidP="002E27CE">
      <w:pPr>
        <w:jc w:val="center"/>
        <w:rPr>
          <w:u w:val="single"/>
        </w:rPr>
      </w:pPr>
      <w:r w:rsidRPr="002E27CE">
        <w:rPr>
          <w:rFonts w:ascii="Arial" w:eastAsia="Arial" w:hAnsi="Arial" w:cs="Arial"/>
          <w:b/>
          <w:sz w:val="24"/>
          <w:szCs w:val="24"/>
          <w:u w:val="single"/>
        </w:rPr>
        <w:t>COMISSÃO DE OBRAS, SERVIÇOS PÚBLICOS E ATIVIDADES PRIVADAS</w:t>
      </w:r>
    </w:p>
    <w:p w:rsidR="00F20801" w:rsidRDefault="00F20801">
      <w:pPr>
        <w:spacing w:line="360" w:lineRule="auto"/>
        <w:rPr>
          <w:rFonts w:ascii="Arial" w:eastAsia="Arial" w:hAnsi="Arial" w:cs="Arial"/>
          <w:sz w:val="24"/>
          <w:szCs w:val="24"/>
        </w:rPr>
      </w:pPr>
    </w:p>
    <w:p w:rsidR="002E27CE" w:rsidRDefault="002E27CE">
      <w:pPr>
        <w:spacing w:line="360" w:lineRule="auto"/>
        <w:rPr>
          <w:rFonts w:ascii="Arial" w:eastAsia="Arial" w:hAnsi="Arial" w:cs="Arial"/>
          <w:sz w:val="24"/>
          <w:szCs w:val="24"/>
        </w:rPr>
      </w:pP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VEREADOR ORIVALDO MAGALHÃES</w:t>
      </w: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2E27CE" w:rsidRDefault="002E27CE" w:rsidP="002E27CE">
      <w:pPr>
        <w:jc w:val="cente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p>
    <w:p w:rsidR="002E27CE" w:rsidRDefault="002E27CE" w:rsidP="002E27CE">
      <w:pP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VEREADOR GERALDO BERTANHA</w:t>
      </w:r>
    </w:p>
    <w:p w:rsidR="002E27CE" w:rsidRDefault="002E27CE" w:rsidP="002E27CE">
      <w:pPr>
        <w:jc w:val="cente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2E27CE" w:rsidRDefault="002E27CE" w:rsidP="002E27CE">
      <w:pPr>
        <w:jc w:val="cente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VEREADOR ADEMIR JUNIOR</w:t>
      </w:r>
    </w:p>
    <w:p w:rsidR="002E27CE" w:rsidRDefault="002E27CE" w:rsidP="002E27CE">
      <w:pPr>
        <w:rPr>
          <w:rFonts w:ascii="Calibri" w:eastAsia="Calibri" w:hAnsi="Calibri" w:cs="Calibri"/>
          <w:sz w:val="26"/>
          <w:szCs w:val="26"/>
          <w:highlight w:val="white"/>
        </w:rPr>
      </w:pPr>
    </w:p>
    <w:p w:rsidR="002E27CE" w:rsidRDefault="002E27CE" w:rsidP="002E27CE">
      <w:pPr>
        <w:jc w:val="center"/>
        <w:rPr>
          <w:rFonts w:ascii="Calibri" w:eastAsia="Calibri" w:hAnsi="Calibri" w:cs="Calibri"/>
          <w:sz w:val="26"/>
          <w:szCs w:val="26"/>
          <w:highlight w:val="white"/>
        </w:rPr>
      </w:pPr>
      <w:r>
        <w:rPr>
          <w:rFonts w:ascii="Calibri" w:eastAsia="Calibri" w:hAnsi="Calibri" w:cs="Calibri"/>
          <w:sz w:val="26"/>
          <w:szCs w:val="26"/>
          <w:highlight w:val="white"/>
        </w:rPr>
        <w:t>MEMBRO / RELATOR</w:t>
      </w:r>
    </w:p>
    <w:p w:rsidR="002E27CE" w:rsidRDefault="002E27CE">
      <w:pPr>
        <w:spacing w:line="360" w:lineRule="auto"/>
        <w:rPr>
          <w:rFonts w:ascii="Arial" w:eastAsia="Arial" w:hAnsi="Arial" w:cs="Arial"/>
          <w:sz w:val="24"/>
          <w:szCs w:val="24"/>
        </w:rPr>
      </w:pPr>
    </w:p>
    <w:sectPr w:rsidR="002E27CE">
      <w:headerReference w:type="even" r:id="rId7"/>
      <w:headerReference w:type="default" r:id="rId8"/>
      <w:footerReference w:type="default" r:id="rId9"/>
      <w:pgSz w:w="11907" w:h="16840"/>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63" w:rsidRDefault="00A75E63">
      <w:r>
        <w:separator/>
      </w:r>
    </w:p>
  </w:endnote>
  <w:endnote w:type="continuationSeparator" w:id="0">
    <w:p w:rsidR="00A75E63" w:rsidRDefault="00A7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01" w:rsidRDefault="00497870">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63" w:rsidRDefault="00A75E63">
      <w:r>
        <w:separator/>
      </w:r>
    </w:p>
  </w:footnote>
  <w:footnote w:type="continuationSeparator" w:id="0">
    <w:p w:rsidR="00A75E63" w:rsidRDefault="00A75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01" w:rsidRDefault="0049787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F20801" w:rsidRDefault="00F20801">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01" w:rsidRDefault="00F20801">
    <w:pPr>
      <w:pBdr>
        <w:top w:val="nil"/>
        <w:left w:val="nil"/>
        <w:bottom w:val="nil"/>
        <w:right w:val="nil"/>
        <w:between w:val="nil"/>
      </w:pBdr>
      <w:tabs>
        <w:tab w:val="center" w:pos="4419"/>
        <w:tab w:val="right" w:pos="8838"/>
      </w:tabs>
      <w:jc w:val="right"/>
      <w:rPr>
        <w:color w:val="000000"/>
      </w:rPr>
    </w:pPr>
  </w:p>
  <w:p w:rsidR="00F20801" w:rsidRDefault="00497870">
    <w:pPr>
      <w:ind w:right="360"/>
      <w:rPr>
        <w:rFonts w:ascii="Arial" w:eastAsia="Arial" w:hAnsi="Arial" w:cs="Arial"/>
        <w:b/>
        <w:color w:val="000000"/>
        <w:sz w:val="34"/>
        <w:szCs w:val="34"/>
      </w:rPr>
    </w:pPr>
    <w:r>
      <w:rPr>
        <w:noProof/>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rFonts w:ascii="Arial" w:eastAsia="Arial" w:hAnsi="Arial" w:cs="Arial"/>
        <w:b/>
        <w:color w:val="000000"/>
        <w:sz w:val="34"/>
        <w:szCs w:val="34"/>
      </w:rPr>
      <w:t>CÂMARA MUNICIPAL DE MOGI MIRIM</w:t>
    </w:r>
  </w:p>
  <w:p w:rsidR="00F20801" w:rsidRDefault="00497870">
    <w:pPr>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01"/>
    <w:rsid w:val="0000202F"/>
    <w:rsid w:val="00053033"/>
    <w:rsid w:val="000C7AD4"/>
    <w:rsid w:val="00111F9C"/>
    <w:rsid w:val="0013212B"/>
    <w:rsid w:val="00171C0D"/>
    <w:rsid w:val="00212286"/>
    <w:rsid w:val="00231450"/>
    <w:rsid w:val="002E27CE"/>
    <w:rsid w:val="003A4055"/>
    <w:rsid w:val="00451D82"/>
    <w:rsid w:val="00457DA0"/>
    <w:rsid w:val="00481929"/>
    <w:rsid w:val="004843C1"/>
    <w:rsid w:val="00497870"/>
    <w:rsid w:val="004C49FB"/>
    <w:rsid w:val="004E6F51"/>
    <w:rsid w:val="004F0890"/>
    <w:rsid w:val="005043C4"/>
    <w:rsid w:val="00521F3B"/>
    <w:rsid w:val="00542E35"/>
    <w:rsid w:val="00554348"/>
    <w:rsid w:val="005A29E0"/>
    <w:rsid w:val="005F487D"/>
    <w:rsid w:val="00656FFB"/>
    <w:rsid w:val="007248A4"/>
    <w:rsid w:val="00750352"/>
    <w:rsid w:val="00782C83"/>
    <w:rsid w:val="00784004"/>
    <w:rsid w:val="00900B39"/>
    <w:rsid w:val="00904904"/>
    <w:rsid w:val="00957A05"/>
    <w:rsid w:val="00A311EC"/>
    <w:rsid w:val="00A75E63"/>
    <w:rsid w:val="00AF7451"/>
    <w:rsid w:val="00B32F8E"/>
    <w:rsid w:val="00BC14E9"/>
    <w:rsid w:val="00CB4F89"/>
    <w:rsid w:val="00CD3072"/>
    <w:rsid w:val="00E11E8A"/>
    <w:rsid w:val="00E32D04"/>
    <w:rsid w:val="00EB1A80"/>
    <w:rsid w:val="00F1017D"/>
    <w:rsid w:val="00F20801"/>
    <w:rsid w:val="00F53A7C"/>
    <w:rsid w:val="00FD2D5D"/>
    <w:rsid w:val="00FF3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DBFA4-9950-4C90-9F14-53DB5C0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semFormatao">
    <w:name w:val="Plain Text"/>
    <w:basedOn w:val="Normal"/>
    <w:rsid w:val="00942D8F"/>
    <w:rPr>
      <w:rFonts w:ascii="Courier New" w:hAnsi="Courier New"/>
    </w:rPr>
  </w:style>
  <w:style w:type="character" w:styleId="Nmerodepgina">
    <w:name w:val="page number"/>
    <w:basedOn w:val="Fontepargpadro"/>
    <w:rsid w:val="00942D8F"/>
  </w:style>
  <w:style w:type="paragraph" w:styleId="Cabealho">
    <w:name w:val="header"/>
    <w:basedOn w:val="Normal"/>
    <w:rsid w:val="00942D8F"/>
    <w:pPr>
      <w:tabs>
        <w:tab w:val="center" w:pos="4419"/>
        <w:tab w:val="right" w:pos="8838"/>
      </w:tabs>
    </w:pPr>
  </w:style>
  <w:style w:type="paragraph" w:styleId="Rodap">
    <w:name w:val="footer"/>
    <w:basedOn w:val="Normal"/>
    <w:rsid w:val="00942D8F"/>
    <w:pPr>
      <w:tabs>
        <w:tab w:val="center" w:pos="4419"/>
        <w:tab w:val="right" w:pos="8838"/>
      </w:tabs>
    </w:pPr>
  </w:style>
  <w:style w:type="paragraph" w:styleId="Textodebalo">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Textodebalo"/>
    <w:rsid w:val="00A5370E"/>
    <w:rPr>
      <w:rFonts w:ascii="Segoe UI" w:hAnsi="Segoe UI" w:cs="Segoe UI"/>
      <w:sz w:val="18"/>
      <w:szCs w:val="18"/>
    </w:rPr>
  </w:style>
  <w:style w:type="paragraph" w:styleId="PargrafodaLista">
    <w:name w:val="List Paragraph"/>
    <w:basedOn w:val="Normal"/>
    <w:uiPriority w:val="34"/>
    <w:qFormat/>
    <w:rsid w:val="00434875"/>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rsid w:val="00053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1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SdgKloPymmJbFDld0Y/YuZjJw==">AMUW2mWcWw3tGNhjUUkIaRQQ8YjWsiL6G/uYnLZt9JgsWEXE4qboC0lES20avLX3a/dtfA3JUgDXC1Q2X9mXyQzq0uEvmBZhHMOQdS66/WyVJH+fVdsGBqFGteipkNJGB5HWGMYTSL2n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1907</Words>
  <Characters>10300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2021-04-14T14:22:00Z</dcterms:created>
  <dcterms:modified xsi:type="dcterms:W3CDTF">2021-04-14T14:55:00Z</dcterms:modified>
</cp:coreProperties>
</file>