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B7A3F" w:rsidRPr="00E232A6" w:rsidP="00AD3A84" w14:paraId="559BCB43" w14:textId="7880C110">
      <w:pPr>
        <w:spacing w:before="240" w:after="240"/>
        <w:contextualSpacing/>
        <w:jc w:val="both"/>
        <w:rPr>
          <w:sz w:val="26"/>
          <w:szCs w:val="26"/>
        </w:rPr>
      </w:pPr>
      <w:r w:rsidRPr="00E232A6">
        <w:rPr>
          <w:b/>
          <w:bCs/>
          <w:sz w:val="26"/>
          <w:szCs w:val="26"/>
          <w:u w:val="single"/>
        </w:rPr>
        <w:t>PARECER Nº</w:t>
      </w:r>
      <w:r w:rsidR="00522554">
        <w:rPr>
          <w:b/>
          <w:bCs/>
          <w:sz w:val="26"/>
          <w:szCs w:val="26"/>
          <w:u w:val="single"/>
        </w:rPr>
        <w:t xml:space="preserve"> 0</w:t>
      </w:r>
      <w:r w:rsidR="00192D16">
        <w:rPr>
          <w:b/>
          <w:bCs/>
          <w:sz w:val="26"/>
          <w:szCs w:val="26"/>
          <w:u w:val="single"/>
        </w:rPr>
        <w:t>5</w:t>
      </w:r>
      <w:r w:rsidR="00913219">
        <w:rPr>
          <w:b/>
          <w:bCs/>
          <w:sz w:val="26"/>
          <w:szCs w:val="26"/>
          <w:u w:val="single"/>
        </w:rPr>
        <w:t xml:space="preserve"> </w:t>
      </w:r>
      <w:r w:rsidRPr="00E232A6">
        <w:rPr>
          <w:b/>
          <w:bCs/>
          <w:sz w:val="26"/>
          <w:szCs w:val="26"/>
          <w:u w:val="single"/>
        </w:rPr>
        <w:t>DE 2</w:t>
      </w:r>
      <w:r w:rsidRPr="00E232A6" w:rsidR="00A727B5">
        <w:rPr>
          <w:b/>
          <w:bCs/>
          <w:sz w:val="26"/>
          <w:szCs w:val="26"/>
          <w:u w:val="single"/>
        </w:rPr>
        <w:t>.</w:t>
      </w:r>
      <w:r w:rsidRPr="00E232A6">
        <w:rPr>
          <w:b/>
          <w:bCs/>
          <w:sz w:val="26"/>
          <w:szCs w:val="26"/>
          <w:u w:val="single"/>
        </w:rPr>
        <w:t xml:space="preserve">021, DA COMISSÃO PERMANENTE DE FINANÇAS E ORÇAMENTO, FAVORÁVEL À APROVAÇÃO DAS CONTAS DO EX-PREFEITO ARQUITETO CARLOS NELSON BUENO, PARA </w:t>
      </w:r>
      <w:r w:rsidRPr="00E232A6" w:rsidR="00A727B5">
        <w:rPr>
          <w:b/>
          <w:bCs/>
          <w:sz w:val="26"/>
          <w:szCs w:val="26"/>
          <w:u w:val="single"/>
        </w:rPr>
        <w:t>O EXERCÍCIO</w:t>
      </w:r>
      <w:r w:rsidRPr="00E232A6">
        <w:rPr>
          <w:b/>
          <w:bCs/>
          <w:sz w:val="26"/>
          <w:szCs w:val="26"/>
          <w:u w:val="single"/>
        </w:rPr>
        <w:t xml:space="preserve"> DE 2</w:t>
      </w:r>
      <w:r w:rsidR="004C4F1A">
        <w:rPr>
          <w:b/>
          <w:bCs/>
          <w:sz w:val="26"/>
          <w:szCs w:val="26"/>
          <w:u w:val="single"/>
        </w:rPr>
        <w:t>.</w:t>
      </w:r>
      <w:r w:rsidRPr="00E232A6">
        <w:rPr>
          <w:b/>
          <w:bCs/>
          <w:sz w:val="26"/>
          <w:szCs w:val="26"/>
          <w:u w:val="single"/>
        </w:rPr>
        <w:t>017.</w:t>
      </w:r>
    </w:p>
    <w:p w:rsidR="00557897" w:rsidRPr="00E232A6" w:rsidP="00AD3A84" w14:paraId="02FE9784" w14:textId="77777777">
      <w:pPr>
        <w:spacing w:before="240" w:after="240"/>
        <w:contextualSpacing/>
        <w:jc w:val="both"/>
        <w:rPr>
          <w:b/>
          <w:bCs/>
          <w:sz w:val="26"/>
          <w:szCs w:val="26"/>
          <w:u w:val="single"/>
        </w:rPr>
      </w:pPr>
    </w:p>
    <w:p w:rsidR="00EB7A3F" w:rsidRPr="00E232A6" w:rsidP="00AD3A84" w14:paraId="0984EC5A" w14:textId="276C5B7D">
      <w:pPr>
        <w:spacing w:before="240" w:after="240"/>
        <w:contextualSpacing/>
        <w:jc w:val="both"/>
        <w:rPr>
          <w:sz w:val="26"/>
          <w:szCs w:val="26"/>
        </w:rPr>
      </w:pPr>
      <w:r w:rsidRPr="00E232A6">
        <w:rPr>
          <w:b/>
          <w:bCs/>
          <w:sz w:val="26"/>
          <w:szCs w:val="26"/>
          <w:u w:val="single"/>
        </w:rPr>
        <w:t>PROCESSO CÂMARA Nº 15 DE 2</w:t>
      </w:r>
      <w:r w:rsidRPr="00E232A6" w:rsidR="00A727B5">
        <w:rPr>
          <w:b/>
          <w:bCs/>
          <w:sz w:val="26"/>
          <w:szCs w:val="26"/>
          <w:u w:val="single"/>
        </w:rPr>
        <w:t>.</w:t>
      </w:r>
      <w:r w:rsidRPr="00E232A6">
        <w:rPr>
          <w:b/>
          <w:bCs/>
          <w:sz w:val="26"/>
          <w:szCs w:val="26"/>
          <w:u w:val="single"/>
        </w:rPr>
        <w:t>021.</w:t>
      </w:r>
    </w:p>
    <w:p w:rsidR="00EB7A3F" w:rsidRPr="00E232A6" w:rsidP="00AD3A84" w14:paraId="4B6BF11E" w14:textId="6E448940">
      <w:pPr>
        <w:spacing w:before="240" w:after="240"/>
        <w:contextualSpacing/>
        <w:jc w:val="both"/>
        <w:rPr>
          <w:sz w:val="24"/>
          <w:szCs w:val="24"/>
        </w:rPr>
      </w:pPr>
      <w:r w:rsidRPr="00E232A6">
        <w:rPr>
          <w:b/>
          <w:bCs/>
          <w:sz w:val="24"/>
          <w:szCs w:val="24"/>
          <w:u w:val="single"/>
        </w:rPr>
        <w:t>PROCESSOS REFERÊNCIA TC</w:t>
      </w:r>
      <w:r w:rsidRPr="00E232A6" w:rsidR="00A727B5">
        <w:rPr>
          <w:b/>
          <w:bCs/>
          <w:sz w:val="24"/>
          <w:szCs w:val="24"/>
          <w:u w:val="single"/>
        </w:rPr>
        <w:t>E/SP</w:t>
      </w:r>
      <w:r w:rsidRPr="00E232A6">
        <w:rPr>
          <w:b/>
          <w:bCs/>
          <w:sz w:val="24"/>
          <w:szCs w:val="24"/>
          <w:u w:val="single"/>
        </w:rPr>
        <w:t xml:space="preserve"> Nº 6788.989.16-</w:t>
      </w:r>
      <w:r w:rsidRPr="00E232A6">
        <w:rPr>
          <w:b/>
          <w:bCs/>
          <w:sz w:val="24"/>
          <w:szCs w:val="24"/>
          <w:u w:val="single"/>
        </w:rPr>
        <w:t>8 </w:t>
      </w:r>
      <w:r w:rsidR="001D3A8B">
        <w:rPr>
          <w:b/>
          <w:bCs/>
          <w:sz w:val="24"/>
          <w:szCs w:val="24"/>
          <w:u w:val="single"/>
        </w:rPr>
        <w:t xml:space="preserve"> </w:t>
      </w:r>
      <w:r w:rsidRPr="00E232A6">
        <w:rPr>
          <w:b/>
          <w:bCs/>
          <w:sz w:val="24"/>
          <w:szCs w:val="24"/>
          <w:u w:val="single"/>
        </w:rPr>
        <w:t>E</w:t>
      </w:r>
      <w:r w:rsidRPr="00E232A6">
        <w:rPr>
          <w:b/>
          <w:bCs/>
          <w:sz w:val="24"/>
          <w:szCs w:val="24"/>
          <w:u w:val="single"/>
        </w:rPr>
        <w:t xml:space="preserve"> REEXAME TC Nº 2317.989.19-3</w:t>
      </w:r>
    </w:p>
    <w:p w:rsidR="00EB7A3F" w:rsidRPr="00E232A6" w:rsidP="00AD3A84" w14:paraId="070DDD20" w14:textId="781D8CF8">
      <w:pPr>
        <w:spacing w:before="240" w:after="240"/>
        <w:contextualSpacing/>
        <w:jc w:val="both"/>
        <w:rPr>
          <w:sz w:val="26"/>
          <w:szCs w:val="26"/>
        </w:rPr>
      </w:pPr>
      <w:r w:rsidRPr="00E232A6">
        <w:rPr>
          <w:sz w:val="26"/>
          <w:szCs w:val="26"/>
        </w:rPr>
        <w:t>     </w:t>
      </w:r>
      <w:r w:rsidRPr="00E232A6">
        <w:rPr>
          <w:sz w:val="26"/>
          <w:szCs w:val="26"/>
        </w:rPr>
        <w:tab/>
        <w:t xml:space="preserve">  </w:t>
      </w:r>
      <w:r w:rsidRPr="00E232A6">
        <w:rPr>
          <w:sz w:val="26"/>
          <w:szCs w:val="26"/>
        </w:rPr>
        <w:tab/>
      </w:r>
    </w:p>
    <w:p w:rsidR="00AD3A84" w:rsidRPr="00E232A6" w:rsidP="00AD3A84" w14:paraId="20B6089F" w14:textId="77777777">
      <w:pPr>
        <w:spacing w:before="240" w:after="240"/>
        <w:contextualSpacing/>
        <w:jc w:val="both"/>
        <w:rPr>
          <w:sz w:val="26"/>
          <w:szCs w:val="26"/>
        </w:rPr>
      </w:pPr>
    </w:p>
    <w:p w:rsidR="00EB7A3F" w:rsidRPr="00E232A6" w:rsidP="00AD3A84" w14:paraId="39E8C435" w14:textId="5BF9F966">
      <w:pPr>
        <w:spacing w:before="240" w:after="240"/>
        <w:contextualSpacing/>
        <w:jc w:val="both"/>
        <w:rPr>
          <w:b/>
          <w:bCs/>
          <w:sz w:val="26"/>
          <w:szCs w:val="26"/>
          <w:u w:val="single"/>
        </w:rPr>
      </w:pPr>
      <w:r w:rsidRPr="00E232A6">
        <w:rPr>
          <w:b/>
          <w:bCs/>
          <w:sz w:val="26"/>
          <w:szCs w:val="26"/>
          <w:u w:val="single"/>
        </w:rPr>
        <w:t>Da Instrução</w:t>
      </w:r>
    </w:p>
    <w:p w:rsidR="008634BD" w:rsidRPr="00E232A6" w:rsidP="00AD3A84" w14:paraId="1FE19C64" w14:textId="77777777">
      <w:pPr>
        <w:spacing w:before="240" w:after="240"/>
        <w:contextualSpacing/>
        <w:jc w:val="both"/>
        <w:rPr>
          <w:b/>
          <w:bCs/>
          <w:sz w:val="26"/>
          <w:szCs w:val="26"/>
        </w:rPr>
      </w:pPr>
    </w:p>
    <w:p w:rsidR="00EB7A3F" w:rsidRPr="00E232A6" w:rsidP="00AD3A84" w14:paraId="31BBE5D8" w14:textId="7E40A253">
      <w:pPr>
        <w:spacing w:before="240" w:after="240"/>
        <w:contextualSpacing/>
        <w:jc w:val="both"/>
        <w:rPr>
          <w:sz w:val="26"/>
          <w:szCs w:val="26"/>
        </w:rPr>
      </w:pPr>
      <w:r w:rsidRPr="00E232A6">
        <w:rPr>
          <w:sz w:val="26"/>
          <w:szCs w:val="26"/>
        </w:rPr>
        <w:t xml:space="preserve">O processo em epígrafe se refere ao encaminhamento a esta Casa, da </w:t>
      </w:r>
      <w:r w:rsidRPr="00E232A6" w:rsidR="00EC6FD0">
        <w:rPr>
          <w:sz w:val="26"/>
          <w:szCs w:val="26"/>
        </w:rPr>
        <w:t xml:space="preserve">decisão </w:t>
      </w:r>
      <w:r w:rsidRPr="00E232A6">
        <w:rPr>
          <w:sz w:val="26"/>
          <w:szCs w:val="26"/>
        </w:rPr>
        <w:t>final do Egrégio Tribunal de Contas do Estado de São Paulo - TCE-SP, referente ao julgamento técnico da Prestação de Contas do Poder Executivo Municipal durante o exercício de 2</w:t>
      </w:r>
      <w:r w:rsidRPr="00E232A6" w:rsidR="00630754">
        <w:rPr>
          <w:sz w:val="26"/>
          <w:szCs w:val="26"/>
        </w:rPr>
        <w:t>.</w:t>
      </w:r>
      <w:r w:rsidRPr="00E232A6">
        <w:rPr>
          <w:sz w:val="26"/>
          <w:szCs w:val="26"/>
        </w:rPr>
        <w:t>017, primeiro ano da gestão do ex-Prefeito, Arquiteto Carlos Nelson Bueno, ordenador das despesas para o mandato de 2</w:t>
      </w:r>
      <w:r w:rsidRPr="00E232A6" w:rsidR="002A698A">
        <w:rPr>
          <w:sz w:val="26"/>
          <w:szCs w:val="26"/>
        </w:rPr>
        <w:t>.</w:t>
      </w:r>
      <w:r w:rsidRPr="00E232A6">
        <w:rPr>
          <w:sz w:val="26"/>
          <w:szCs w:val="26"/>
        </w:rPr>
        <w:t>017-2</w:t>
      </w:r>
      <w:r w:rsidRPr="00E232A6" w:rsidR="002A698A">
        <w:rPr>
          <w:sz w:val="26"/>
          <w:szCs w:val="26"/>
        </w:rPr>
        <w:t>.</w:t>
      </w:r>
      <w:r w:rsidRPr="00E232A6">
        <w:rPr>
          <w:sz w:val="26"/>
          <w:szCs w:val="26"/>
        </w:rPr>
        <w:t>020. </w:t>
      </w:r>
    </w:p>
    <w:p w:rsidR="00557897" w:rsidRPr="00E232A6" w:rsidP="00AD3A84" w14:paraId="10A03F32" w14:textId="02757F6D">
      <w:pPr>
        <w:spacing w:before="240" w:after="240"/>
        <w:contextualSpacing/>
        <w:jc w:val="both"/>
        <w:rPr>
          <w:sz w:val="26"/>
          <w:szCs w:val="26"/>
        </w:rPr>
      </w:pPr>
    </w:p>
    <w:p w:rsidR="00AD3A84" w:rsidRPr="00E232A6" w:rsidP="00AD3A84" w14:paraId="70A62CE5" w14:textId="77777777">
      <w:pPr>
        <w:spacing w:before="240" w:after="240"/>
        <w:contextualSpacing/>
        <w:jc w:val="both"/>
        <w:rPr>
          <w:sz w:val="26"/>
          <w:szCs w:val="26"/>
        </w:rPr>
      </w:pPr>
    </w:p>
    <w:p w:rsidR="00EB7A3F" w:rsidRPr="00E232A6" w:rsidP="00AD3A84" w14:paraId="106D58FA" w14:textId="2D39761B">
      <w:pPr>
        <w:spacing w:before="240" w:after="240"/>
        <w:contextualSpacing/>
        <w:jc w:val="both"/>
        <w:rPr>
          <w:b/>
          <w:bCs/>
          <w:sz w:val="26"/>
          <w:szCs w:val="26"/>
          <w:u w:val="single"/>
        </w:rPr>
      </w:pPr>
      <w:r w:rsidRPr="00E232A6">
        <w:rPr>
          <w:b/>
          <w:bCs/>
          <w:sz w:val="26"/>
          <w:szCs w:val="26"/>
          <w:u w:val="single"/>
        </w:rPr>
        <w:t>Das Considerações Iniciais</w:t>
      </w:r>
    </w:p>
    <w:p w:rsidR="008634BD" w:rsidRPr="00E232A6" w:rsidP="00AD3A84" w14:paraId="1074B21E" w14:textId="77777777">
      <w:pPr>
        <w:spacing w:before="240" w:after="240"/>
        <w:contextualSpacing/>
        <w:jc w:val="both"/>
        <w:rPr>
          <w:b/>
          <w:bCs/>
          <w:sz w:val="26"/>
          <w:szCs w:val="26"/>
        </w:rPr>
      </w:pPr>
    </w:p>
    <w:p w:rsidR="00EB7A3F" w:rsidRPr="00E232A6" w:rsidP="00AD3A84" w14:paraId="4DFB2990" w14:textId="56386AD1">
      <w:pPr>
        <w:spacing w:before="240" w:after="240"/>
        <w:contextualSpacing/>
        <w:jc w:val="both"/>
        <w:rPr>
          <w:sz w:val="26"/>
          <w:szCs w:val="26"/>
        </w:rPr>
      </w:pPr>
      <w:r w:rsidRPr="00E232A6">
        <w:rPr>
          <w:sz w:val="26"/>
          <w:szCs w:val="26"/>
        </w:rPr>
        <w:t>O referido processo foi autuado nesta Casa de Leis aos 29</w:t>
      </w:r>
      <w:r w:rsidRPr="00E232A6" w:rsidR="00084500">
        <w:rPr>
          <w:sz w:val="26"/>
          <w:szCs w:val="26"/>
        </w:rPr>
        <w:t xml:space="preserve"> (vinte e nove)</w:t>
      </w:r>
      <w:r w:rsidRPr="00E232A6">
        <w:rPr>
          <w:sz w:val="26"/>
          <w:szCs w:val="26"/>
        </w:rPr>
        <w:t xml:space="preserve"> dias do mês de janeiro do ano de </w:t>
      </w:r>
      <w:r w:rsidRPr="00E232A6" w:rsidR="00A727B5">
        <w:rPr>
          <w:sz w:val="26"/>
          <w:szCs w:val="26"/>
        </w:rPr>
        <w:t>2.021, ficando</w:t>
      </w:r>
      <w:r w:rsidRPr="00E232A6">
        <w:rPr>
          <w:sz w:val="26"/>
          <w:szCs w:val="26"/>
        </w:rPr>
        <w:t xml:space="preserve"> por força do Art. 33 da Constituição Federal de 1988, </w:t>
      </w:r>
      <w:r w:rsidRPr="00E232A6" w:rsidR="00084500">
        <w:rPr>
          <w:sz w:val="26"/>
          <w:szCs w:val="26"/>
        </w:rPr>
        <w:t xml:space="preserve">e </w:t>
      </w:r>
      <w:r w:rsidRPr="00E232A6">
        <w:rPr>
          <w:sz w:val="26"/>
          <w:szCs w:val="26"/>
        </w:rPr>
        <w:t>Art. nº 59 da Lei Orgânica</w:t>
      </w:r>
      <w:r w:rsidRPr="00E232A6" w:rsidR="00084500">
        <w:rPr>
          <w:sz w:val="26"/>
          <w:szCs w:val="26"/>
        </w:rPr>
        <w:t xml:space="preserve"> de Mogi Mirim - LOMM</w:t>
      </w:r>
      <w:r w:rsidRPr="00E232A6">
        <w:rPr>
          <w:sz w:val="26"/>
          <w:szCs w:val="26"/>
        </w:rPr>
        <w:t xml:space="preserve">, disponível para acesso e discussão da população </w:t>
      </w:r>
      <w:r w:rsidRPr="00E232A6" w:rsidR="00506090">
        <w:rPr>
          <w:sz w:val="26"/>
          <w:szCs w:val="26"/>
        </w:rPr>
        <w:t>Mogimiriana</w:t>
      </w:r>
      <w:r w:rsidRPr="00E232A6">
        <w:rPr>
          <w:sz w:val="26"/>
          <w:szCs w:val="26"/>
        </w:rPr>
        <w:t xml:space="preserve"> pelo prazo de 60 dias corridos, que </w:t>
      </w:r>
      <w:r w:rsidRPr="00E232A6" w:rsidR="00506090">
        <w:rPr>
          <w:sz w:val="26"/>
          <w:szCs w:val="26"/>
        </w:rPr>
        <w:t>se findou</w:t>
      </w:r>
      <w:r w:rsidRPr="00E232A6">
        <w:rPr>
          <w:sz w:val="26"/>
          <w:szCs w:val="26"/>
        </w:rPr>
        <w:t xml:space="preserve"> em 30 de março de 2</w:t>
      </w:r>
      <w:r w:rsidRPr="00E232A6" w:rsidR="00506090">
        <w:rPr>
          <w:sz w:val="26"/>
          <w:szCs w:val="26"/>
        </w:rPr>
        <w:t>.</w:t>
      </w:r>
      <w:r w:rsidRPr="00E232A6">
        <w:rPr>
          <w:sz w:val="26"/>
          <w:szCs w:val="26"/>
        </w:rPr>
        <w:t xml:space="preserve">021. Após o prazo citado, conforme </w:t>
      </w:r>
      <w:r w:rsidRPr="00E232A6" w:rsidR="00506090">
        <w:rPr>
          <w:sz w:val="26"/>
          <w:szCs w:val="26"/>
        </w:rPr>
        <w:t>disposto</w:t>
      </w:r>
      <w:r w:rsidRPr="00E232A6">
        <w:rPr>
          <w:sz w:val="26"/>
          <w:szCs w:val="26"/>
        </w:rPr>
        <w:t xml:space="preserve"> </w:t>
      </w:r>
      <w:r w:rsidRPr="00E232A6" w:rsidR="00506090">
        <w:rPr>
          <w:sz w:val="26"/>
          <w:szCs w:val="26"/>
        </w:rPr>
        <w:t>n</w:t>
      </w:r>
      <w:r w:rsidRPr="00E232A6">
        <w:rPr>
          <w:sz w:val="26"/>
          <w:szCs w:val="26"/>
        </w:rPr>
        <w:t xml:space="preserve">os Arts. 219 a 223 do Regimento Interno da Câmara Municipal, o processo foi encaminhado para esta Comissão Permanente de Finanças e Orçamento para análise </w:t>
      </w:r>
      <w:r w:rsidRPr="00E232A6" w:rsidR="00506090">
        <w:rPr>
          <w:sz w:val="26"/>
          <w:szCs w:val="26"/>
        </w:rPr>
        <w:t>e</w:t>
      </w:r>
      <w:r w:rsidRPr="00E232A6">
        <w:rPr>
          <w:sz w:val="26"/>
          <w:szCs w:val="26"/>
        </w:rPr>
        <w:t xml:space="preserve"> avaliação dos apontamentos e manifestações do TCE-SP, oitivas, e qualquer ação que a comissão considerar relevante para emissão do parecer</w:t>
      </w:r>
      <w:r w:rsidRPr="00E232A6" w:rsidR="009D7612">
        <w:rPr>
          <w:sz w:val="26"/>
          <w:szCs w:val="26"/>
        </w:rPr>
        <w:t xml:space="preserve"> final</w:t>
      </w:r>
      <w:r w:rsidRPr="00E232A6">
        <w:rPr>
          <w:sz w:val="26"/>
          <w:szCs w:val="26"/>
        </w:rPr>
        <w:t xml:space="preserve"> e consequente </w:t>
      </w:r>
      <w:r w:rsidRPr="00E232A6" w:rsidR="009D7612">
        <w:rPr>
          <w:sz w:val="26"/>
          <w:szCs w:val="26"/>
        </w:rPr>
        <w:t>opinião</w:t>
      </w:r>
      <w:r w:rsidRPr="00E232A6">
        <w:rPr>
          <w:sz w:val="26"/>
          <w:szCs w:val="26"/>
        </w:rPr>
        <w:t xml:space="preserve"> acerca da aprovação, ou reprovação das contas.</w:t>
      </w:r>
    </w:p>
    <w:p w:rsidR="00AD3A84" w:rsidRPr="00E232A6" w:rsidP="00AD3A84" w14:paraId="1EDD3F60" w14:textId="77777777">
      <w:pPr>
        <w:spacing w:before="240" w:after="240"/>
        <w:contextualSpacing/>
        <w:jc w:val="both"/>
        <w:rPr>
          <w:sz w:val="26"/>
          <w:szCs w:val="26"/>
        </w:rPr>
      </w:pPr>
    </w:p>
    <w:p w:rsidR="00EB7A3F" w:rsidRPr="00E232A6" w:rsidP="00AD3A84" w14:paraId="377662BD" w14:textId="28D51B4C">
      <w:pPr>
        <w:spacing w:before="240" w:after="240"/>
        <w:contextualSpacing/>
        <w:jc w:val="both"/>
        <w:rPr>
          <w:sz w:val="26"/>
          <w:szCs w:val="26"/>
        </w:rPr>
      </w:pPr>
      <w:r w:rsidRPr="00E232A6">
        <w:rPr>
          <w:sz w:val="26"/>
          <w:szCs w:val="26"/>
        </w:rPr>
        <w:t>Válido informar de início, que se trata de uma avaliação complexa, onde o assunto tramitou por diversos órgãos de assessoria e controle externo de contas (Tribunal de Contas Estadual TCE-SP, Ministério Público de Contas - MPC, Assessoria Técnica-Jurídica do TCE) para subsidiar tecnicamente os nobre Edis desta Câmara</w:t>
      </w:r>
      <w:r w:rsidRPr="00E232A6" w:rsidR="0050695F">
        <w:rPr>
          <w:sz w:val="26"/>
          <w:szCs w:val="26"/>
        </w:rPr>
        <w:t xml:space="preserve">, </w:t>
      </w:r>
      <w:r w:rsidRPr="00E232A6">
        <w:rPr>
          <w:sz w:val="26"/>
          <w:szCs w:val="26"/>
        </w:rPr>
        <w:t>em sua atribuição exclusiva de julgar as contas da Prefeitura Municipal de Mogi Mirim para o exercício de 2</w:t>
      </w:r>
      <w:r w:rsidRPr="00E232A6" w:rsidR="00EB78FF">
        <w:rPr>
          <w:sz w:val="26"/>
          <w:szCs w:val="26"/>
        </w:rPr>
        <w:t>.</w:t>
      </w:r>
      <w:r w:rsidRPr="00E232A6">
        <w:rPr>
          <w:sz w:val="26"/>
          <w:szCs w:val="26"/>
        </w:rPr>
        <w:t>017.</w:t>
      </w:r>
    </w:p>
    <w:p w:rsidR="00AD3A84" w:rsidRPr="00E232A6" w:rsidP="00AD3A84" w14:paraId="1284E8C9" w14:textId="77777777">
      <w:pPr>
        <w:spacing w:before="240" w:after="240"/>
        <w:contextualSpacing/>
        <w:jc w:val="both"/>
        <w:rPr>
          <w:sz w:val="26"/>
          <w:szCs w:val="26"/>
        </w:rPr>
      </w:pPr>
    </w:p>
    <w:p w:rsidR="00EB7A3F" w:rsidRPr="00E232A6" w:rsidP="00AD3A84" w14:paraId="53B6B5F0" w14:textId="0FE32703">
      <w:pPr>
        <w:spacing w:before="240" w:after="240"/>
        <w:contextualSpacing/>
        <w:jc w:val="both"/>
        <w:rPr>
          <w:sz w:val="26"/>
          <w:szCs w:val="26"/>
        </w:rPr>
      </w:pPr>
      <w:r w:rsidRPr="00E232A6">
        <w:rPr>
          <w:sz w:val="26"/>
          <w:szCs w:val="26"/>
        </w:rPr>
        <w:t xml:space="preserve">No caso em pauta, o TCE-SP </w:t>
      </w:r>
      <w:r w:rsidRPr="00E232A6" w:rsidR="00EB78FF">
        <w:rPr>
          <w:sz w:val="26"/>
          <w:szCs w:val="26"/>
        </w:rPr>
        <w:t>deliberou conclusivamente</w:t>
      </w:r>
      <w:r w:rsidRPr="00E232A6">
        <w:rPr>
          <w:sz w:val="26"/>
          <w:szCs w:val="26"/>
        </w:rPr>
        <w:t xml:space="preserve"> a favor da </w:t>
      </w:r>
      <w:r w:rsidRPr="00E232A6">
        <w:rPr>
          <w:sz w:val="26"/>
          <w:szCs w:val="26"/>
          <w:u w:val="single"/>
        </w:rPr>
        <w:t>APROVAÇÃO das contas, com r</w:t>
      </w:r>
      <w:r w:rsidRPr="00E232A6" w:rsidR="00EB78FF">
        <w:rPr>
          <w:sz w:val="26"/>
          <w:szCs w:val="26"/>
          <w:u w:val="single"/>
        </w:rPr>
        <w:t>ecomendações</w:t>
      </w:r>
      <w:r w:rsidRPr="00E232A6">
        <w:rPr>
          <w:sz w:val="26"/>
          <w:szCs w:val="26"/>
          <w:u w:val="single"/>
        </w:rPr>
        <w:t>,</w:t>
      </w:r>
      <w:r w:rsidRPr="00E232A6">
        <w:rPr>
          <w:sz w:val="26"/>
          <w:szCs w:val="26"/>
        </w:rPr>
        <w:t xml:space="preserve"> após nova avaliação provocada por pedido de Reexame de Parecer Prévio CONTRÁRIO à aprovação, com base nos apontamentos que descreveremos no decorrer deste parecer.</w:t>
      </w:r>
    </w:p>
    <w:p w:rsidR="00AD3A84" w:rsidRPr="00E232A6" w:rsidP="00AD3A84" w14:paraId="185C5637" w14:textId="77777777">
      <w:pPr>
        <w:spacing w:before="240" w:after="240"/>
        <w:contextualSpacing/>
        <w:jc w:val="both"/>
        <w:rPr>
          <w:sz w:val="26"/>
          <w:szCs w:val="26"/>
        </w:rPr>
      </w:pPr>
    </w:p>
    <w:p w:rsidR="00EB7A3F" w:rsidRPr="00E232A6" w:rsidP="00AD3A84" w14:paraId="236EAAC1" w14:textId="6EA50A26">
      <w:pPr>
        <w:spacing w:before="240" w:after="240"/>
        <w:contextualSpacing/>
        <w:jc w:val="both"/>
        <w:rPr>
          <w:sz w:val="26"/>
          <w:szCs w:val="26"/>
        </w:rPr>
      </w:pPr>
      <w:r w:rsidRPr="00E232A6">
        <w:rPr>
          <w:sz w:val="26"/>
          <w:szCs w:val="26"/>
        </w:rPr>
        <w:t xml:space="preserve">Ressaltamos que devido a situação da pandemia mundial da Covid-19 o Governador do Estado de São Paulo </w:t>
      </w:r>
      <w:r w:rsidRPr="00E232A6">
        <w:rPr>
          <w:sz w:val="26"/>
          <w:szCs w:val="26"/>
          <w:shd w:val="clear" w:color="auto" w:fill="FFFFFF"/>
        </w:rPr>
        <w:t>João Agripino da Costa Doria Junior,</w:t>
      </w:r>
      <w:r w:rsidRPr="00E232A6">
        <w:rPr>
          <w:sz w:val="26"/>
          <w:szCs w:val="26"/>
        </w:rPr>
        <w:t xml:space="preserve"> impôs em todo o Estado de São Paulo a restrição de serviços e atividades em decorrência da medida de quarentena, em conformidade com o Plano São Paulo, classificado em Fase Vermelha, conforme Decreto Estadual nº 65.595 de 03 de março de 2021, como consequência os Atos da Mesa da Câmara Municipal  </w:t>
      </w:r>
      <w:r w:rsidRPr="00E232A6">
        <w:rPr>
          <w:sz w:val="26"/>
          <w:szCs w:val="26"/>
        </w:rPr>
        <w:t>nºs</w:t>
      </w:r>
      <w:r w:rsidRPr="00E232A6">
        <w:rPr>
          <w:sz w:val="26"/>
          <w:szCs w:val="26"/>
        </w:rPr>
        <w:t xml:space="preserve"> 023; 025; 029 e 030/2021, que suspenderam temporariamente as atividades da Câmara Municipal de Mogi Mirim, restringindo o acesso às dependências desta Casa de Leis</w:t>
      </w:r>
      <w:r w:rsidRPr="00E232A6" w:rsidR="00B25A5E">
        <w:rPr>
          <w:sz w:val="26"/>
          <w:szCs w:val="26"/>
        </w:rPr>
        <w:t xml:space="preserve">, </w:t>
      </w:r>
      <w:r w:rsidRPr="00E232A6" w:rsidR="00281055">
        <w:rPr>
          <w:sz w:val="26"/>
          <w:szCs w:val="26"/>
        </w:rPr>
        <w:t>tornaram</w:t>
      </w:r>
      <w:r w:rsidRPr="00E232A6">
        <w:rPr>
          <w:sz w:val="26"/>
          <w:szCs w:val="26"/>
        </w:rPr>
        <w:t xml:space="preserve">  a análise dos autos, oitivas e reuniões da comissão temporariamente prejudicadas. </w:t>
      </w:r>
    </w:p>
    <w:p w:rsidR="00557897" w:rsidRPr="00E232A6" w:rsidP="00AD3A84" w14:paraId="4C833B5B" w14:textId="32154528">
      <w:pPr>
        <w:spacing w:before="240" w:after="240"/>
        <w:contextualSpacing/>
        <w:jc w:val="both"/>
        <w:rPr>
          <w:sz w:val="26"/>
          <w:szCs w:val="26"/>
        </w:rPr>
      </w:pPr>
    </w:p>
    <w:p w:rsidR="00AD3A84" w:rsidRPr="00E232A6" w:rsidP="00AD3A84" w14:paraId="750AD297" w14:textId="77777777">
      <w:pPr>
        <w:spacing w:before="240" w:after="240"/>
        <w:contextualSpacing/>
        <w:jc w:val="both"/>
        <w:rPr>
          <w:sz w:val="26"/>
          <w:szCs w:val="26"/>
        </w:rPr>
      </w:pPr>
    </w:p>
    <w:p w:rsidR="00EB7A3F" w:rsidRPr="00E232A6" w:rsidP="00AD3A84" w14:paraId="67997D89" w14:textId="67E1E73D">
      <w:pPr>
        <w:spacing w:before="240" w:after="240"/>
        <w:contextualSpacing/>
        <w:jc w:val="both"/>
        <w:rPr>
          <w:b/>
          <w:bCs/>
          <w:sz w:val="26"/>
          <w:szCs w:val="26"/>
          <w:u w:val="single"/>
        </w:rPr>
      </w:pPr>
      <w:r w:rsidRPr="00E232A6">
        <w:rPr>
          <w:b/>
          <w:bCs/>
          <w:sz w:val="26"/>
          <w:szCs w:val="26"/>
          <w:u w:val="single"/>
        </w:rPr>
        <w:t xml:space="preserve">Das </w:t>
      </w:r>
      <w:r w:rsidRPr="00E232A6">
        <w:rPr>
          <w:b/>
          <w:bCs/>
          <w:sz w:val="26"/>
          <w:szCs w:val="26"/>
          <w:u w:val="single"/>
        </w:rPr>
        <w:t>Fontes de Informação</w:t>
      </w:r>
    </w:p>
    <w:p w:rsidR="008634BD" w:rsidRPr="00E232A6" w:rsidP="00AD3A84" w14:paraId="6070EDCB" w14:textId="77777777">
      <w:pPr>
        <w:spacing w:before="240" w:after="240"/>
        <w:contextualSpacing/>
        <w:jc w:val="both"/>
        <w:rPr>
          <w:b/>
          <w:bCs/>
          <w:sz w:val="26"/>
          <w:szCs w:val="26"/>
        </w:rPr>
      </w:pPr>
    </w:p>
    <w:p w:rsidR="00EB7A3F" w:rsidRPr="00E232A6" w:rsidP="00AD3A84" w14:paraId="0671DF4B" w14:textId="41D3E560">
      <w:pPr>
        <w:spacing w:before="240" w:after="240"/>
        <w:contextualSpacing/>
        <w:jc w:val="both"/>
        <w:rPr>
          <w:sz w:val="26"/>
          <w:szCs w:val="26"/>
        </w:rPr>
      </w:pPr>
      <w:r w:rsidRPr="00E232A6">
        <w:rPr>
          <w:sz w:val="26"/>
          <w:szCs w:val="26"/>
        </w:rPr>
        <w:t xml:space="preserve">Este parecer foi elaborado tendo como embasamento as manifestações do Tribunal de Contas do Estado de São Paulo - TCE/SP, Ministério Público de Contas - MPC, Assessoria Técnico-Jurídica do TCE, Prefeitura Municipal de Mogi Mirim - PMMM e nas oitivas junto </w:t>
      </w:r>
      <w:r w:rsidRPr="00E232A6" w:rsidR="0036544E">
        <w:rPr>
          <w:sz w:val="26"/>
          <w:szCs w:val="26"/>
        </w:rPr>
        <w:t>aos colaboradores</w:t>
      </w:r>
      <w:r w:rsidRPr="00E232A6">
        <w:rPr>
          <w:sz w:val="26"/>
          <w:szCs w:val="26"/>
        </w:rPr>
        <w:t xml:space="preserve"> e agentes públicos responsáveis, na ocasião, para esclarecimentos dos fatos levantados.</w:t>
      </w:r>
    </w:p>
    <w:p w:rsidR="00557897" w:rsidRPr="00E232A6" w:rsidP="00AD3A84" w14:paraId="79136F6F" w14:textId="3B3DDA80">
      <w:pPr>
        <w:spacing w:before="240" w:after="240"/>
        <w:contextualSpacing/>
        <w:jc w:val="both"/>
        <w:rPr>
          <w:sz w:val="26"/>
          <w:szCs w:val="26"/>
        </w:rPr>
      </w:pPr>
    </w:p>
    <w:p w:rsidR="00EB7A3F" w:rsidRPr="00E232A6" w:rsidP="00AD3A84" w14:paraId="598FF0A6" w14:textId="675F6E65">
      <w:pPr>
        <w:spacing w:before="240" w:after="240"/>
        <w:contextualSpacing/>
        <w:jc w:val="both"/>
        <w:rPr>
          <w:b/>
          <w:bCs/>
          <w:sz w:val="26"/>
          <w:szCs w:val="26"/>
          <w:u w:val="single"/>
        </w:rPr>
      </w:pPr>
      <w:r w:rsidRPr="00E232A6">
        <w:rPr>
          <w:b/>
          <w:bCs/>
          <w:sz w:val="26"/>
          <w:szCs w:val="26"/>
          <w:u w:val="single"/>
        </w:rPr>
        <w:t>Do Histórico Processual</w:t>
      </w:r>
    </w:p>
    <w:p w:rsidR="008634BD" w:rsidRPr="00E232A6" w:rsidP="00AD3A84" w14:paraId="531AF6E0" w14:textId="77777777">
      <w:pPr>
        <w:spacing w:before="240" w:after="240"/>
        <w:contextualSpacing/>
        <w:jc w:val="both"/>
        <w:rPr>
          <w:b/>
          <w:bCs/>
          <w:sz w:val="26"/>
          <w:szCs w:val="26"/>
        </w:rPr>
      </w:pPr>
    </w:p>
    <w:p w:rsidR="00EB7A3F" w:rsidRPr="00E232A6" w:rsidP="00AD3A84" w14:paraId="020FF72F" w14:textId="03BE7DD3">
      <w:pPr>
        <w:spacing w:before="240" w:after="240"/>
        <w:contextualSpacing/>
        <w:jc w:val="both"/>
        <w:rPr>
          <w:sz w:val="26"/>
          <w:szCs w:val="26"/>
        </w:rPr>
      </w:pPr>
      <w:r w:rsidRPr="00E232A6">
        <w:rPr>
          <w:sz w:val="26"/>
          <w:szCs w:val="26"/>
        </w:rPr>
        <w:t>Para melhor entendimento do caminho processual do tema, segue breve resumo das principais manifestações:</w:t>
      </w:r>
    </w:p>
    <w:p w:rsidR="00EF374B" w:rsidRPr="00E232A6" w:rsidP="00AD3A84" w14:paraId="3DEDB882" w14:textId="77777777">
      <w:pPr>
        <w:spacing w:before="240" w:after="240"/>
        <w:contextualSpacing/>
        <w:jc w:val="both"/>
        <w:rPr>
          <w:sz w:val="26"/>
          <w:szCs w:val="26"/>
        </w:rPr>
      </w:pPr>
    </w:p>
    <w:p w:rsidR="00EB7A3F" w:rsidRPr="00E232A6" w:rsidP="00AD3A84" w14:paraId="398A889C" w14:textId="099F1850">
      <w:pPr>
        <w:numPr>
          <w:ilvl w:val="0"/>
          <w:numId w:val="3"/>
        </w:numPr>
        <w:spacing w:before="240"/>
        <w:contextualSpacing/>
        <w:jc w:val="both"/>
        <w:textAlignment w:val="baseline"/>
        <w:rPr>
          <w:sz w:val="26"/>
          <w:szCs w:val="26"/>
        </w:rPr>
      </w:pPr>
      <w:r w:rsidRPr="00E232A6">
        <w:rPr>
          <w:sz w:val="26"/>
          <w:szCs w:val="26"/>
        </w:rPr>
        <w:t xml:space="preserve">24/09/2019 - Decisão da Primeira Câmara do Tribunal de Contas do Estado de São Paulo aprovando Parecer Prévio opinando pela Rejeição das contas para o exercício de 2017, em primeira instância, em face da gestão de pagamentos dos encargos sociais, sobretudo pela falta de recolhimento das competências de outubro, novembro de 2017 e 13º </w:t>
      </w:r>
      <w:r w:rsidR="000F6349">
        <w:rPr>
          <w:sz w:val="26"/>
          <w:szCs w:val="26"/>
        </w:rPr>
        <w:t xml:space="preserve">(décimo terceiro) salário </w:t>
      </w:r>
      <w:r w:rsidRPr="00E232A6">
        <w:rPr>
          <w:sz w:val="26"/>
          <w:szCs w:val="26"/>
        </w:rPr>
        <w:t>de 2</w:t>
      </w:r>
      <w:r w:rsidR="00CC413F">
        <w:rPr>
          <w:sz w:val="26"/>
          <w:szCs w:val="26"/>
        </w:rPr>
        <w:t>.</w:t>
      </w:r>
      <w:r w:rsidRPr="00E232A6">
        <w:rPr>
          <w:sz w:val="26"/>
          <w:szCs w:val="26"/>
        </w:rPr>
        <w:t>017- da parte patronal, em valor de R$ 4.953.424,53 (quatro milhões novecentos e cinquenta e três mil quatrocentos e vinte e quatro reais e cinquenta e três centavos); bem como, da competência outubro 2</w:t>
      </w:r>
      <w:r w:rsidR="00EE3410">
        <w:rPr>
          <w:sz w:val="26"/>
          <w:szCs w:val="26"/>
        </w:rPr>
        <w:t>.</w:t>
      </w:r>
      <w:r w:rsidRPr="00E232A6">
        <w:rPr>
          <w:sz w:val="26"/>
          <w:szCs w:val="26"/>
        </w:rPr>
        <w:t>017 - parte segurados, no valor de R$ 907.918,44 (novecentos e sete mil novecentos e dezoito reais e quarenta e quatro centavos).</w:t>
      </w:r>
    </w:p>
    <w:p w:rsidR="00EB7A3F" w:rsidRPr="00E232A6" w:rsidP="00AD3A84" w14:paraId="12A7ADE8" w14:textId="77777777">
      <w:pPr>
        <w:numPr>
          <w:ilvl w:val="0"/>
          <w:numId w:val="3"/>
        </w:numPr>
        <w:contextualSpacing/>
        <w:jc w:val="both"/>
        <w:textAlignment w:val="baseline"/>
        <w:rPr>
          <w:sz w:val="26"/>
          <w:szCs w:val="26"/>
        </w:rPr>
      </w:pPr>
      <w:r w:rsidRPr="00E232A6">
        <w:rPr>
          <w:sz w:val="26"/>
          <w:szCs w:val="26"/>
        </w:rPr>
        <w:t>01/11/2019 Interposição de pedido de Reexame, ao perecer prévio (evento 159-TC-6788.989.16-8 e evento 01 - TC- 23317.989.19-3);</w:t>
      </w:r>
    </w:p>
    <w:p w:rsidR="00EB7A3F" w:rsidRPr="00E232A6" w:rsidP="00AD3A84" w14:paraId="45C7509B" w14:textId="77777777">
      <w:pPr>
        <w:numPr>
          <w:ilvl w:val="0"/>
          <w:numId w:val="3"/>
        </w:numPr>
        <w:contextualSpacing/>
        <w:jc w:val="both"/>
        <w:textAlignment w:val="baseline"/>
        <w:rPr>
          <w:sz w:val="26"/>
          <w:szCs w:val="26"/>
        </w:rPr>
      </w:pPr>
      <w:r w:rsidRPr="00E232A6">
        <w:rPr>
          <w:sz w:val="26"/>
          <w:szCs w:val="26"/>
        </w:rPr>
        <w:t>11/12/2019 - Manifestação da Assessoria Técnico-Jurídica do TCE-SP opinando contrariamente ao provimento do recurso;</w:t>
      </w:r>
    </w:p>
    <w:p w:rsidR="00EB7A3F" w:rsidRPr="00E232A6" w:rsidP="00AD3A84" w14:paraId="0A6C3469" w14:textId="31429664">
      <w:pPr>
        <w:numPr>
          <w:ilvl w:val="0"/>
          <w:numId w:val="3"/>
        </w:numPr>
        <w:contextualSpacing/>
        <w:jc w:val="both"/>
        <w:textAlignment w:val="baseline"/>
        <w:rPr>
          <w:sz w:val="26"/>
          <w:szCs w:val="26"/>
        </w:rPr>
      </w:pPr>
      <w:r w:rsidRPr="00E232A6">
        <w:rPr>
          <w:sz w:val="26"/>
          <w:szCs w:val="26"/>
        </w:rPr>
        <w:t>25/05/2020 - Manifestação do M</w:t>
      </w:r>
      <w:r w:rsidR="001A527C">
        <w:rPr>
          <w:sz w:val="26"/>
          <w:szCs w:val="26"/>
        </w:rPr>
        <w:t>inistério Público de Contas - M</w:t>
      </w:r>
      <w:r w:rsidRPr="00E232A6">
        <w:rPr>
          <w:sz w:val="26"/>
          <w:szCs w:val="26"/>
        </w:rPr>
        <w:t>PC contrariamente ao provimento do recurso;</w:t>
      </w:r>
    </w:p>
    <w:p w:rsidR="00EB7A3F" w:rsidRPr="00E232A6" w:rsidP="00AD3A84" w14:paraId="74235B69" w14:textId="77777777">
      <w:pPr>
        <w:numPr>
          <w:ilvl w:val="0"/>
          <w:numId w:val="3"/>
        </w:numPr>
        <w:spacing w:after="240"/>
        <w:contextualSpacing/>
        <w:jc w:val="both"/>
        <w:textAlignment w:val="baseline"/>
        <w:rPr>
          <w:sz w:val="26"/>
          <w:szCs w:val="26"/>
        </w:rPr>
      </w:pPr>
      <w:r w:rsidRPr="00E232A6">
        <w:rPr>
          <w:sz w:val="26"/>
          <w:szCs w:val="26"/>
        </w:rPr>
        <w:t xml:space="preserve">22/08/2020 - 22ª Sessão Ordinária do Tribunal Pleno do TCE-SP, realizado via videoconferência,  tendo em julgamento o Pedido de Reexame interposto contra  o parecer desfavorável, com defesa mediante Sustentação Oral, proferida pela Secretária de Negócios Jurídicos (à época) Sra. Dra. Adriana Tavares de Oliveira Penha, onde por decisão favorável dos Conselheiros, foi reconhecida a defesa </w:t>
      </w:r>
      <w:r w:rsidRPr="00E232A6">
        <w:rPr>
          <w:sz w:val="26"/>
          <w:szCs w:val="26"/>
        </w:rPr>
        <w:t>apresentada e alterando a decisão negativa do parecer,  considerando, portanto, APROVADA as referidas contas.</w:t>
      </w:r>
    </w:p>
    <w:p w:rsidR="00AD3A84" w:rsidRPr="00E232A6" w:rsidP="00AD3A84" w14:paraId="56BD386A" w14:textId="5492D354">
      <w:pPr>
        <w:spacing w:after="240"/>
        <w:contextualSpacing/>
        <w:rPr>
          <w:sz w:val="26"/>
          <w:szCs w:val="26"/>
        </w:rPr>
      </w:pPr>
    </w:p>
    <w:p w:rsidR="008634BD" w:rsidRPr="00E232A6" w:rsidP="00AD3A84" w14:paraId="6E5A81F5" w14:textId="77777777">
      <w:pPr>
        <w:spacing w:after="240"/>
        <w:contextualSpacing/>
        <w:rPr>
          <w:b/>
          <w:bCs/>
          <w:sz w:val="26"/>
          <w:szCs w:val="26"/>
          <w:u w:val="single"/>
        </w:rPr>
      </w:pPr>
    </w:p>
    <w:p w:rsidR="00EB7A3F" w:rsidRPr="00E232A6" w:rsidP="00AD3A84" w14:paraId="65899C7E" w14:textId="40FE1438">
      <w:pPr>
        <w:spacing w:after="240"/>
        <w:contextualSpacing/>
        <w:rPr>
          <w:b/>
          <w:bCs/>
          <w:sz w:val="26"/>
          <w:szCs w:val="26"/>
          <w:u w:val="single"/>
        </w:rPr>
      </w:pPr>
      <w:r w:rsidRPr="00E232A6">
        <w:rPr>
          <w:b/>
          <w:bCs/>
          <w:sz w:val="26"/>
          <w:szCs w:val="26"/>
          <w:u w:val="single"/>
        </w:rPr>
        <w:t>Da Análise das Contas - Exercício de 2017 - Prefeito Carlos Nelson Bueno</w:t>
      </w:r>
    </w:p>
    <w:p w:rsidR="008634BD" w:rsidRPr="00E232A6" w:rsidP="00AD3A84" w14:paraId="12775F51" w14:textId="77777777">
      <w:pPr>
        <w:spacing w:after="240"/>
        <w:contextualSpacing/>
        <w:rPr>
          <w:b/>
          <w:bCs/>
          <w:sz w:val="26"/>
          <w:szCs w:val="26"/>
        </w:rPr>
      </w:pPr>
    </w:p>
    <w:p w:rsidR="00EB7A3F" w:rsidRPr="00E232A6" w:rsidP="00AD3A84" w14:paraId="6B456A88" w14:textId="75B5FC54">
      <w:pPr>
        <w:spacing w:before="240" w:after="240"/>
        <w:contextualSpacing/>
        <w:jc w:val="both"/>
        <w:rPr>
          <w:sz w:val="26"/>
          <w:szCs w:val="26"/>
        </w:rPr>
      </w:pPr>
      <w:r w:rsidRPr="00E232A6">
        <w:rPr>
          <w:sz w:val="26"/>
          <w:szCs w:val="26"/>
        </w:rPr>
        <w:t>Preliminarmente, devemos observar o conteúdo informado no Parecer Prévio da Conselheira Dra. Cristiana de Castro Moraes (opinando inicialmente pela rejeição das contas) que fez inúmeros apontamentos sobre a gestão das contas no exercício, indicando irregularidades em diversas áreas de administração. Entre elas se faz necessário analisar alguns pontos: </w:t>
      </w:r>
    </w:p>
    <w:p w:rsidR="0071292F" w:rsidRPr="00E232A6" w:rsidP="00AD3A84" w14:paraId="619E1DEC" w14:textId="77777777">
      <w:pPr>
        <w:spacing w:before="240" w:after="240"/>
        <w:contextualSpacing/>
        <w:jc w:val="both"/>
        <w:rPr>
          <w:sz w:val="26"/>
          <w:szCs w:val="26"/>
        </w:rPr>
      </w:pPr>
    </w:p>
    <w:p w:rsidR="00EB7A3F" w:rsidRPr="00E232A6" w:rsidP="00AD3A84" w14:paraId="6114DEA9" w14:textId="77777777">
      <w:pPr>
        <w:numPr>
          <w:ilvl w:val="0"/>
          <w:numId w:val="4"/>
        </w:numPr>
        <w:spacing w:before="240"/>
        <w:contextualSpacing/>
        <w:jc w:val="both"/>
        <w:textAlignment w:val="baseline"/>
        <w:rPr>
          <w:sz w:val="26"/>
          <w:szCs w:val="26"/>
        </w:rPr>
      </w:pPr>
      <w:r w:rsidRPr="00E232A6">
        <w:rPr>
          <w:sz w:val="26"/>
          <w:szCs w:val="26"/>
        </w:rPr>
        <w:t xml:space="preserve">Foi observado que nos 05 primeiros meses da gestão houve um aumento dos valores pagos de remuneração dos Agentes Políticos (Secretários Municipais) do Prefeito e Vice-Prefeito. Este aumento foi executado de forma irregular, sem a fixação prévia da legislatura anterior, aplicando índice de reajustes não concedidos nos anos de 2013, 2015 e 2016. Foi necessária a intervenção do Ministério Público através da celebração de Termo de Ajustamento de Conduta - TAC para devolução dos valores percebidos em desconformidade. </w:t>
      </w:r>
      <w:r w:rsidRPr="00E232A6">
        <w:rPr>
          <w:sz w:val="26"/>
          <w:szCs w:val="26"/>
          <w:u w:val="single"/>
        </w:rPr>
        <w:t>Os valores já foram devolvidos ao erário.</w:t>
      </w:r>
    </w:p>
    <w:p w:rsidR="00EB7A3F" w:rsidRPr="00E232A6" w:rsidP="00AD3A84" w14:paraId="78AEF1F3" w14:textId="7E770BC4">
      <w:pPr>
        <w:numPr>
          <w:ilvl w:val="0"/>
          <w:numId w:val="4"/>
        </w:numPr>
        <w:contextualSpacing/>
        <w:jc w:val="both"/>
        <w:textAlignment w:val="baseline"/>
        <w:rPr>
          <w:sz w:val="26"/>
          <w:szCs w:val="26"/>
        </w:rPr>
      </w:pPr>
      <w:r w:rsidRPr="00E232A6">
        <w:rPr>
          <w:sz w:val="26"/>
          <w:szCs w:val="26"/>
        </w:rPr>
        <w:t xml:space="preserve">Crescimento de 22,46% da dívida fundada, devido a eliminação do estoque de dívida imediata, com a conversão da dívida a longo prazo, com o ônus decorrentes das operações realizadas. </w:t>
      </w:r>
      <w:r w:rsidRPr="00E232A6">
        <w:rPr>
          <w:sz w:val="26"/>
          <w:szCs w:val="26"/>
          <w:u w:val="single"/>
        </w:rPr>
        <w:t>Tecnicamente foi considerado aceitável pelo tribunal por estar em nível abaixo de limite prudencial;</w:t>
      </w:r>
    </w:p>
    <w:p w:rsidR="00CA16FD" w:rsidRPr="00E232A6" w:rsidP="00AD3A84" w14:paraId="397E1636" w14:textId="7777C878">
      <w:pPr>
        <w:numPr>
          <w:ilvl w:val="0"/>
          <w:numId w:val="4"/>
        </w:numPr>
        <w:spacing w:after="240"/>
        <w:ind w:left="714" w:hanging="357"/>
        <w:contextualSpacing/>
        <w:jc w:val="both"/>
        <w:textAlignment w:val="baseline"/>
        <w:rPr>
          <w:sz w:val="26"/>
          <w:szCs w:val="26"/>
        </w:rPr>
      </w:pPr>
      <w:r w:rsidRPr="00E232A6">
        <w:rPr>
          <w:sz w:val="26"/>
          <w:szCs w:val="26"/>
        </w:rPr>
        <w:t xml:space="preserve">Foi observado um déficit de arrecadação, mesmo diante de um cenário positivo de crescimento da economia nacional, no percentual de 3,78%, indicando que o orçamento estava superestimado. </w:t>
      </w:r>
      <w:r w:rsidRPr="00E232A6">
        <w:rPr>
          <w:sz w:val="26"/>
          <w:szCs w:val="26"/>
          <w:u w:val="single"/>
        </w:rPr>
        <w:t>Tal apontamento foi alvo de nova análise, sendo evidenciado que na verdade</w:t>
      </w:r>
      <w:r w:rsidRPr="00E232A6" w:rsidR="00300C4B">
        <w:rPr>
          <w:sz w:val="26"/>
          <w:szCs w:val="26"/>
          <w:u w:val="single"/>
        </w:rPr>
        <w:t xml:space="preserve"> houve</w:t>
      </w:r>
      <w:r w:rsidRPr="00E232A6">
        <w:rPr>
          <w:sz w:val="26"/>
          <w:szCs w:val="26"/>
          <w:u w:val="single"/>
        </w:rPr>
        <w:t xml:space="preserve"> um superávit financeiro.</w:t>
      </w:r>
    </w:p>
    <w:p w:rsidR="00CA16FD" w:rsidRPr="00E232A6" w:rsidP="00AD3A84" w14:paraId="17518FC9" w14:textId="75454714">
      <w:pPr>
        <w:numPr>
          <w:ilvl w:val="0"/>
          <w:numId w:val="4"/>
        </w:numPr>
        <w:spacing w:after="240"/>
        <w:ind w:left="714" w:hanging="357"/>
        <w:contextualSpacing/>
        <w:jc w:val="both"/>
        <w:textAlignment w:val="baseline"/>
        <w:rPr>
          <w:sz w:val="26"/>
          <w:szCs w:val="26"/>
        </w:rPr>
      </w:pPr>
      <w:r w:rsidRPr="00E232A6">
        <w:rPr>
          <w:sz w:val="26"/>
          <w:szCs w:val="26"/>
        </w:rPr>
        <w:t xml:space="preserve">Não recolhimento </w:t>
      </w:r>
      <w:r w:rsidRPr="00E232A6" w:rsidR="004743D1">
        <w:rPr>
          <w:sz w:val="26"/>
          <w:szCs w:val="26"/>
        </w:rPr>
        <w:t>de</w:t>
      </w:r>
      <w:r w:rsidRPr="00E232A6" w:rsidR="00300C4B">
        <w:rPr>
          <w:sz w:val="26"/>
          <w:szCs w:val="26"/>
        </w:rPr>
        <w:t xml:space="preserve"> </w:t>
      </w:r>
      <w:r w:rsidRPr="00E232A6" w:rsidR="004743D1">
        <w:rPr>
          <w:sz w:val="26"/>
          <w:szCs w:val="26"/>
        </w:rPr>
        <w:t>valores</w:t>
      </w:r>
      <w:r w:rsidRPr="00E232A6" w:rsidR="00300C4B">
        <w:rPr>
          <w:sz w:val="26"/>
          <w:szCs w:val="26"/>
        </w:rPr>
        <w:t xml:space="preserve"> obrigatórios</w:t>
      </w:r>
      <w:r w:rsidRPr="00E232A6" w:rsidR="004743D1">
        <w:rPr>
          <w:sz w:val="26"/>
          <w:szCs w:val="26"/>
        </w:rPr>
        <w:t xml:space="preserve"> de encargos sociais</w:t>
      </w:r>
      <w:r w:rsidRPr="00E232A6" w:rsidR="00300C4B">
        <w:rPr>
          <w:sz w:val="26"/>
          <w:szCs w:val="26"/>
        </w:rPr>
        <w:t>,</w:t>
      </w:r>
      <w:r w:rsidRPr="00E232A6" w:rsidR="00043E09">
        <w:rPr>
          <w:sz w:val="26"/>
          <w:szCs w:val="26"/>
        </w:rPr>
        <w:t xml:space="preserve"> durante o exercício</w:t>
      </w:r>
      <w:r w:rsidRPr="00E232A6" w:rsidR="00BB3308">
        <w:rPr>
          <w:sz w:val="26"/>
          <w:szCs w:val="26"/>
        </w:rPr>
        <w:t xml:space="preserve"> de 2.017</w:t>
      </w:r>
      <w:r w:rsidRPr="00E232A6" w:rsidR="00043E09">
        <w:rPr>
          <w:sz w:val="26"/>
          <w:szCs w:val="26"/>
        </w:rPr>
        <w:t xml:space="preserve">. </w:t>
      </w:r>
      <w:r w:rsidRPr="00E232A6" w:rsidR="00F50962">
        <w:rPr>
          <w:sz w:val="26"/>
          <w:szCs w:val="26"/>
          <w:u w:val="single"/>
        </w:rPr>
        <w:t>Apontamento devidamente justificado e aceito no pedido de reexame</w:t>
      </w:r>
      <w:r w:rsidRPr="00E232A6" w:rsidR="00BD73A7">
        <w:rPr>
          <w:sz w:val="26"/>
          <w:szCs w:val="26"/>
          <w:u w:val="single"/>
        </w:rPr>
        <w:t xml:space="preserve">, </w:t>
      </w:r>
      <w:r w:rsidRPr="00E232A6" w:rsidR="00BD73A7">
        <w:rPr>
          <w:sz w:val="26"/>
          <w:szCs w:val="26"/>
        </w:rPr>
        <w:t>conforme esclareceremos abaixo</w:t>
      </w:r>
      <w:r w:rsidRPr="00E232A6" w:rsidR="00BB3308">
        <w:rPr>
          <w:sz w:val="26"/>
          <w:szCs w:val="26"/>
          <w:u w:val="single"/>
        </w:rPr>
        <w:t>;</w:t>
      </w:r>
    </w:p>
    <w:p w:rsidR="001B372F" w:rsidRPr="00E232A6" w:rsidP="00AD3A84" w14:paraId="625BBA29" w14:textId="31967CFA">
      <w:pPr>
        <w:numPr>
          <w:ilvl w:val="0"/>
          <w:numId w:val="4"/>
        </w:numPr>
        <w:spacing w:after="240"/>
        <w:ind w:left="714" w:hanging="357"/>
        <w:contextualSpacing/>
        <w:jc w:val="both"/>
        <w:textAlignment w:val="baseline"/>
        <w:rPr>
          <w:sz w:val="26"/>
          <w:szCs w:val="26"/>
        </w:rPr>
      </w:pPr>
      <w:r w:rsidRPr="00E232A6">
        <w:rPr>
          <w:sz w:val="26"/>
          <w:szCs w:val="26"/>
        </w:rPr>
        <w:t>Rep</w:t>
      </w:r>
      <w:r w:rsidRPr="00E232A6">
        <w:rPr>
          <w:sz w:val="26"/>
          <w:szCs w:val="26"/>
        </w:rPr>
        <w:t>arcelamento</w:t>
      </w:r>
      <w:r w:rsidRPr="00E232A6">
        <w:rPr>
          <w:sz w:val="26"/>
          <w:szCs w:val="26"/>
        </w:rPr>
        <w:t xml:space="preserve"> de</w:t>
      </w:r>
      <w:r w:rsidRPr="00E232A6">
        <w:rPr>
          <w:sz w:val="26"/>
          <w:szCs w:val="26"/>
        </w:rPr>
        <w:t xml:space="preserve"> dívidas </w:t>
      </w:r>
      <w:r w:rsidRPr="00E232A6">
        <w:rPr>
          <w:sz w:val="26"/>
          <w:szCs w:val="26"/>
        </w:rPr>
        <w:t xml:space="preserve">sobre os encargos sociais, efetuado no </w:t>
      </w:r>
      <w:r w:rsidRPr="00E232A6" w:rsidR="00545A3C">
        <w:rPr>
          <w:sz w:val="26"/>
          <w:szCs w:val="26"/>
        </w:rPr>
        <w:t xml:space="preserve">final do exercício de 2.017 e </w:t>
      </w:r>
      <w:r w:rsidRPr="00E232A6">
        <w:rPr>
          <w:sz w:val="26"/>
          <w:szCs w:val="26"/>
        </w:rPr>
        <w:t>início d</w:t>
      </w:r>
      <w:r w:rsidRPr="00E232A6" w:rsidR="008828D2">
        <w:rPr>
          <w:sz w:val="26"/>
          <w:szCs w:val="26"/>
        </w:rPr>
        <w:t>o exercício de</w:t>
      </w:r>
      <w:r w:rsidRPr="00E232A6">
        <w:rPr>
          <w:sz w:val="26"/>
          <w:szCs w:val="26"/>
        </w:rPr>
        <w:t xml:space="preserve"> 2.018</w:t>
      </w:r>
      <w:r w:rsidRPr="00E232A6" w:rsidR="006D1AB4">
        <w:rPr>
          <w:sz w:val="26"/>
          <w:szCs w:val="26"/>
        </w:rPr>
        <w:t>, motivo principal que embasou a Rejeição das contas</w:t>
      </w:r>
      <w:r w:rsidRPr="00E232A6">
        <w:rPr>
          <w:sz w:val="26"/>
          <w:szCs w:val="26"/>
        </w:rPr>
        <w:t xml:space="preserve">. </w:t>
      </w:r>
      <w:r w:rsidRPr="00E232A6">
        <w:rPr>
          <w:sz w:val="26"/>
          <w:szCs w:val="26"/>
          <w:u w:val="single"/>
        </w:rPr>
        <w:t>Foi comprovado em reexame, que hou</w:t>
      </w:r>
      <w:r w:rsidRPr="00E232A6" w:rsidR="004058DE">
        <w:rPr>
          <w:sz w:val="26"/>
          <w:szCs w:val="26"/>
          <w:u w:val="single"/>
        </w:rPr>
        <w:t>ve apenas um acréscimo de valores devidos a não recolhimento</w:t>
      </w:r>
      <w:r w:rsidRPr="00E232A6" w:rsidR="00CE3111">
        <w:rPr>
          <w:sz w:val="26"/>
          <w:szCs w:val="26"/>
          <w:u w:val="single"/>
        </w:rPr>
        <w:t>s</w:t>
      </w:r>
      <w:r w:rsidRPr="00E232A6" w:rsidR="004058DE">
        <w:rPr>
          <w:sz w:val="26"/>
          <w:szCs w:val="26"/>
          <w:u w:val="single"/>
        </w:rPr>
        <w:t xml:space="preserve"> de anos anteriores</w:t>
      </w:r>
      <w:r w:rsidRPr="00E232A6" w:rsidR="00CE3111">
        <w:rPr>
          <w:sz w:val="26"/>
          <w:szCs w:val="26"/>
          <w:u w:val="single"/>
        </w:rPr>
        <w:t xml:space="preserve"> e não de novas infrações, </w:t>
      </w:r>
      <w:r w:rsidRPr="00E232A6" w:rsidR="004058DE">
        <w:rPr>
          <w:sz w:val="26"/>
          <w:szCs w:val="26"/>
          <w:u w:val="single"/>
        </w:rPr>
        <w:t xml:space="preserve">portanto, o </w:t>
      </w:r>
      <w:r w:rsidRPr="00E232A6" w:rsidR="00772C4D">
        <w:rPr>
          <w:sz w:val="26"/>
          <w:szCs w:val="26"/>
          <w:u w:val="single"/>
        </w:rPr>
        <w:t>T</w:t>
      </w:r>
      <w:r w:rsidRPr="00E232A6" w:rsidR="004058DE">
        <w:rPr>
          <w:sz w:val="26"/>
          <w:szCs w:val="26"/>
          <w:u w:val="single"/>
        </w:rPr>
        <w:t xml:space="preserve">ribunal </w:t>
      </w:r>
      <w:r w:rsidRPr="00E232A6" w:rsidR="00772C4D">
        <w:rPr>
          <w:sz w:val="26"/>
          <w:szCs w:val="26"/>
          <w:u w:val="single"/>
        </w:rPr>
        <w:t>afastou</w:t>
      </w:r>
      <w:r w:rsidRPr="00E232A6" w:rsidR="004058DE">
        <w:rPr>
          <w:sz w:val="26"/>
          <w:szCs w:val="26"/>
          <w:u w:val="single"/>
        </w:rPr>
        <w:t xml:space="preserve"> a irregularidade</w:t>
      </w:r>
      <w:r w:rsidRPr="00E232A6" w:rsidR="00CE3111">
        <w:rPr>
          <w:sz w:val="26"/>
          <w:szCs w:val="26"/>
          <w:u w:val="single"/>
        </w:rPr>
        <w:t>.</w:t>
      </w:r>
    </w:p>
    <w:p w:rsidR="00D417EA" w:rsidRPr="00E232A6" w:rsidP="00AD3A84" w14:paraId="2357C8C9" w14:textId="0A501E78">
      <w:pPr>
        <w:spacing w:after="240"/>
        <w:ind w:left="714"/>
        <w:contextualSpacing/>
        <w:jc w:val="both"/>
        <w:textAlignment w:val="baseline"/>
        <w:rPr>
          <w:sz w:val="26"/>
          <w:szCs w:val="26"/>
        </w:rPr>
      </w:pPr>
    </w:p>
    <w:p w:rsidR="00BB3308" w:rsidRPr="00E232A6" w:rsidP="00AD3A84" w14:paraId="40B95DAD" w14:textId="13CC8601">
      <w:pPr>
        <w:spacing w:after="240"/>
        <w:ind w:left="714"/>
        <w:contextualSpacing/>
        <w:jc w:val="both"/>
        <w:textAlignment w:val="baseline"/>
        <w:rPr>
          <w:sz w:val="26"/>
          <w:szCs w:val="26"/>
        </w:rPr>
      </w:pPr>
    </w:p>
    <w:p w:rsidR="008634BD" w:rsidRPr="00E232A6" w:rsidP="00AD3A84" w14:paraId="283D85BE" w14:textId="5B409866">
      <w:pPr>
        <w:spacing w:after="240"/>
        <w:ind w:left="714"/>
        <w:contextualSpacing/>
        <w:jc w:val="both"/>
        <w:textAlignment w:val="baseline"/>
        <w:rPr>
          <w:sz w:val="26"/>
          <w:szCs w:val="26"/>
        </w:rPr>
      </w:pPr>
    </w:p>
    <w:p w:rsidR="008634BD" w:rsidRPr="00E232A6" w:rsidP="00AD3A84" w14:paraId="58235ABE" w14:textId="5F5D151F">
      <w:pPr>
        <w:spacing w:after="240"/>
        <w:ind w:left="714"/>
        <w:contextualSpacing/>
        <w:jc w:val="both"/>
        <w:textAlignment w:val="baseline"/>
        <w:rPr>
          <w:sz w:val="26"/>
          <w:szCs w:val="26"/>
        </w:rPr>
      </w:pPr>
    </w:p>
    <w:p w:rsidR="008634BD" w:rsidRPr="00E232A6" w:rsidP="00AD3A84" w14:paraId="110027E5" w14:textId="4E0749AB">
      <w:pPr>
        <w:spacing w:after="240"/>
        <w:ind w:left="714"/>
        <w:contextualSpacing/>
        <w:jc w:val="both"/>
        <w:textAlignment w:val="baseline"/>
        <w:rPr>
          <w:sz w:val="26"/>
          <w:szCs w:val="26"/>
        </w:rPr>
      </w:pPr>
    </w:p>
    <w:p w:rsidR="008634BD" w:rsidRPr="00E232A6" w:rsidP="00AD3A84" w14:paraId="08A1F7EC" w14:textId="48B0C132">
      <w:pPr>
        <w:spacing w:after="240"/>
        <w:ind w:left="714"/>
        <w:contextualSpacing/>
        <w:jc w:val="both"/>
        <w:textAlignment w:val="baseline"/>
        <w:rPr>
          <w:sz w:val="26"/>
          <w:szCs w:val="26"/>
        </w:rPr>
      </w:pPr>
    </w:p>
    <w:p w:rsidR="008634BD" w:rsidRPr="00E232A6" w:rsidP="00AD3A84" w14:paraId="3FF0784D" w14:textId="77777777">
      <w:pPr>
        <w:spacing w:after="240"/>
        <w:ind w:left="714"/>
        <w:contextualSpacing/>
        <w:jc w:val="both"/>
        <w:textAlignment w:val="baseline"/>
        <w:rPr>
          <w:sz w:val="26"/>
          <w:szCs w:val="26"/>
        </w:rPr>
      </w:pPr>
    </w:p>
    <w:p w:rsidR="00EB7A3F" w:rsidRPr="00E232A6" w:rsidP="00AD3A84" w14:paraId="0B954A29" w14:textId="28500E36">
      <w:pPr>
        <w:spacing w:before="240" w:after="240"/>
        <w:contextualSpacing/>
        <w:jc w:val="both"/>
        <w:rPr>
          <w:sz w:val="26"/>
          <w:szCs w:val="26"/>
          <w:u w:val="single"/>
        </w:rPr>
      </w:pPr>
      <w:r w:rsidRPr="00E232A6">
        <w:rPr>
          <w:sz w:val="26"/>
          <w:szCs w:val="26"/>
          <w:u w:val="single"/>
        </w:rPr>
        <w:t>Passamos à análise das irregularidades que foram consideradas críticas suficientes para a rejeição prévia das contas.</w:t>
      </w:r>
    </w:p>
    <w:p w:rsidR="0071292F" w:rsidRPr="00E232A6" w:rsidP="00AD3A84" w14:paraId="223E061C" w14:textId="77777777">
      <w:pPr>
        <w:spacing w:before="240" w:after="240"/>
        <w:contextualSpacing/>
        <w:jc w:val="both"/>
        <w:rPr>
          <w:sz w:val="26"/>
          <w:szCs w:val="26"/>
        </w:rPr>
      </w:pPr>
    </w:p>
    <w:p w:rsidR="00EB7A3F" w:rsidRPr="00E232A6" w:rsidP="00AD3A84" w14:paraId="794AAEE7" w14:textId="5A2B9D95">
      <w:pPr>
        <w:spacing w:before="240" w:after="240"/>
        <w:contextualSpacing/>
        <w:jc w:val="both"/>
        <w:rPr>
          <w:sz w:val="26"/>
          <w:szCs w:val="26"/>
        </w:rPr>
      </w:pPr>
      <w:r w:rsidRPr="00E232A6">
        <w:rPr>
          <w:sz w:val="26"/>
          <w:szCs w:val="26"/>
        </w:rPr>
        <w:t>Foi identificado que a Prefeitura não honrou com as obrigações tributárias no recolhimento dos encargos sociais das competências de outubro, novembro e 13º</w:t>
      </w:r>
      <w:r w:rsidR="000F6349">
        <w:rPr>
          <w:sz w:val="26"/>
          <w:szCs w:val="26"/>
        </w:rPr>
        <w:t xml:space="preserve"> (décimo terceiro) salário </w:t>
      </w:r>
      <w:r w:rsidRPr="00E232A6">
        <w:rPr>
          <w:sz w:val="26"/>
          <w:szCs w:val="26"/>
        </w:rPr>
        <w:t>do exercício de 2017 da parte patronal, em valor de R$ 4.953.424,53,  (quatro milhões novecentos e cinquenta e três mil quatrocentos e vinte e quatro reais e cinquenta e três centavos) bem como, da competência outubro de 2017 da parte dos segurados no valor de R$ 907.918,44 (novecentos e sete mil novecentos e dezoito reais e quarenta e quatro centavos), junto à Previdência Social.</w:t>
      </w:r>
    </w:p>
    <w:p w:rsidR="007F186C" w:rsidRPr="00E232A6" w:rsidP="00AD3A84" w14:paraId="3345A24E" w14:textId="77777777">
      <w:pPr>
        <w:spacing w:before="240" w:after="240"/>
        <w:contextualSpacing/>
        <w:jc w:val="both"/>
        <w:rPr>
          <w:sz w:val="26"/>
          <w:szCs w:val="26"/>
        </w:rPr>
      </w:pPr>
    </w:p>
    <w:p w:rsidR="00EB7A3F" w:rsidRPr="00E232A6" w:rsidP="00AD3A84" w14:paraId="4124D3F8" w14:textId="10B24184">
      <w:pPr>
        <w:spacing w:before="240" w:after="240"/>
        <w:contextualSpacing/>
        <w:jc w:val="both"/>
        <w:rPr>
          <w:sz w:val="26"/>
          <w:szCs w:val="26"/>
        </w:rPr>
      </w:pPr>
      <w:r w:rsidRPr="00E232A6">
        <w:rPr>
          <w:sz w:val="26"/>
          <w:szCs w:val="26"/>
        </w:rPr>
        <w:t xml:space="preserve">A Prefeitura já estava desde a gestão anterior (2013-2016) acumulando dívidas de caráter previdenciário, ocasionado pelo não recolhimento dos encargos e posterior </w:t>
      </w:r>
      <w:r w:rsidRPr="00E232A6">
        <w:rPr>
          <w:sz w:val="26"/>
          <w:szCs w:val="26"/>
          <w:u w:val="single"/>
        </w:rPr>
        <w:t xml:space="preserve">parcelamento das dívidas </w:t>
      </w:r>
      <w:r w:rsidRPr="00E232A6">
        <w:rPr>
          <w:sz w:val="26"/>
          <w:szCs w:val="26"/>
        </w:rPr>
        <w:t xml:space="preserve">junto </w:t>
      </w:r>
      <w:r w:rsidRPr="00E232A6" w:rsidR="00D417EA">
        <w:rPr>
          <w:sz w:val="26"/>
          <w:szCs w:val="26"/>
        </w:rPr>
        <w:t>à</w:t>
      </w:r>
      <w:r w:rsidRPr="00E232A6">
        <w:rPr>
          <w:sz w:val="26"/>
          <w:szCs w:val="26"/>
        </w:rPr>
        <w:t xml:space="preserve"> Receita Federal. Devido às condições financeiras enfrentadas durante o exercício de 2</w:t>
      </w:r>
      <w:r w:rsidRPr="00E232A6" w:rsidR="000B0593">
        <w:rPr>
          <w:sz w:val="26"/>
          <w:szCs w:val="26"/>
        </w:rPr>
        <w:t>.</w:t>
      </w:r>
      <w:r w:rsidRPr="00E232A6">
        <w:rPr>
          <w:sz w:val="26"/>
          <w:szCs w:val="26"/>
        </w:rPr>
        <w:t xml:space="preserve">017, cumulativamente com as dívidas herdadas pela gestão anterior, a administração municipal se viu na situação de ter que escolher por quais pagamentos e recolhimentos iriam executar. Na ocasião, a Prefeitura optou por honrar com os valores dos salários e pagamento do 13º </w:t>
      </w:r>
      <w:r w:rsidR="00DC55D9">
        <w:rPr>
          <w:sz w:val="26"/>
          <w:szCs w:val="26"/>
        </w:rPr>
        <w:t xml:space="preserve">(décimo terceiro) salário </w:t>
      </w:r>
      <w:r w:rsidRPr="00E232A6">
        <w:rPr>
          <w:sz w:val="26"/>
          <w:szCs w:val="26"/>
        </w:rPr>
        <w:t>dos funcionários em detrimento ao recolhimento dos encargos sociais. </w:t>
      </w:r>
    </w:p>
    <w:p w:rsidR="0071292F" w:rsidRPr="00E232A6" w:rsidP="00AD3A84" w14:paraId="2C9A8A1F" w14:textId="77777777">
      <w:pPr>
        <w:spacing w:before="240" w:after="240"/>
        <w:contextualSpacing/>
        <w:jc w:val="both"/>
        <w:rPr>
          <w:sz w:val="26"/>
          <w:szCs w:val="26"/>
        </w:rPr>
      </w:pPr>
    </w:p>
    <w:p w:rsidR="00EB7A3F" w:rsidRPr="00E232A6" w:rsidP="00AD3A84" w14:paraId="3CE4BB45" w14:textId="618DF1C0">
      <w:pPr>
        <w:spacing w:before="240" w:after="240"/>
        <w:contextualSpacing/>
        <w:jc w:val="both"/>
        <w:rPr>
          <w:sz w:val="26"/>
          <w:szCs w:val="26"/>
        </w:rPr>
      </w:pPr>
      <w:r w:rsidRPr="00E232A6">
        <w:rPr>
          <w:sz w:val="26"/>
          <w:szCs w:val="26"/>
        </w:rPr>
        <w:t>Para sanar tais dívidas, foi solicitado autorização à Câmara Municipal de Mogi Mirim para reparcelar o pagamento dos tributos, sendo aprovado pelo poder legislativo, com a publicação da Lei Municipal nº 5.945 de 26 de outubro de 2</w:t>
      </w:r>
      <w:r w:rsidRPr="00E232A6" w:rsidR="00C77A55">
        <w:rPr>
          <w:sz w:val="26"/>
          <w:szCs w:val="26"/>
        </w:rPr>
        <w:t>.</w:t>
      </w:r>
      <w:r w:rsidRPr="00E232A6">
        <w:rPr>
          <w:sz w:val="26"/>
          <w:szCs w:val="26"/>
        </w:rPr>
        <w:t>017 que: “Dispõe sobre o parcelamento de Dívidas com a previdência Social e com o Serviço Autônomo de Água e Esgoto de Mogi Mirim (SAAE)”, anexa aos autos do processo. Com a devida autorização legislativa foi procedido com a rescisão dos acordos anteriores, somado aos valores atuais e o reparcelamento dos débitos (dívidas anteriores e das competências de 2017) com adesão à Lei Federal nº 13.485 de 02 de outubro de 2</w:t>
      </w:r>
      <w:r w:rsidRPr="00E232A6" w:rsidR="00C77A55">
        <w:rPr>
          <w:sz w:val="26"/>
          <w:szCs w:val="26"/>
        </w:rPr>
        <w:t>.</w:t>
      </w:r>
      <w:r w:rsidRPr="00E232A6">
        <w:rPr>
          <w:sz w:val="26"/>
          <w:szCs w:val="26"/>
        </w:rPr>
        <w:t>017. </w:t>
      </w:r>
    </w:p>
    <w:p w:rsidR="0071292F" w:rsidRPr="00E232A6" w:rsidP="00AD3A84" w14:paraId="1C08596C" w14:textId="77777777">
      <w:pPr>
        <w:spacing w:before="240" w:after="240"/>
        <w:contextualSpacing/>
        <w:jc w:val="both"/>
        <w:rPr>
          <w:sz w:val="26"/>
          <w:szCs w:val="26"/>
        </w:rPr>
      </w:pPr>
    </w:p>
    <w:p w:rsidR="00EB7A3F" w:rsidRPr="00E232A6" w:rsidP="00AD3A84" w14:paraId="2DF1084E" w14:textId="190E95CD">
      <w:pPr>
        <w:spacing w:before="240" w:after="240"/>
        <w:contextualSpacing/>
        <w:jc w:val="both"/>
        <w:rPr>
          <w:sz w:val="26"/>
          <w:szCs w:val="26"/>
          <w:u w:val="single"/>
        </w:rPr>
      </w:pPr>
      <w:r w:rsidRPr="00E232A6">
        <w:rPr>
          <w:sz w:val="26"/>
          <w:szCs w:val="26"/>
        </w:rPr>
        <w:t>A citada lei federal autorizou o parcelamento dos débitos e obrigações tributárias junto à Receita Federal e da Procuradoria-Geral, decorrentes do não recolhimento das contribuições</w:t>
      </w:r>
      <w:r w:rsidRPr="00E232A6">
        <w:rPr>
          <w:sz w:val="26"/>
          <w:szCs w:val="26"/>
          <w:u w:val="single"/>
        </w:rPr>
        <w:t xml:space="preserve"> vencidas até 30 de abril. </w:t>
      </w:r>
    </w:p>
    <w:p w:rsidR="00E54757" w:rsidRPr="00E232A6" w:rsidP="00AD3A84" w14:paraId="5F95A12D" w14:textId="77777777">
      <w:pPr>
        <w:spacing w:before="240" w:after="240"/>
        <w:contextualSpacing/>
        <w:jc w:val="both"/>
        <w:rPr>
          <w:sz w:val="26"/>
          <w:szCs w:val="26"/>
          <w:u w:val="single"/>
        </w:rPr>
      </w:pPr>
    </w:p>
    <w:p w:rsidR="00EB7A3F" w:rsidRPr="00E232A6" w:rsidP="006E6096" w14:paraId="12D861B2" w14:textId="51789770">
      <w:pPr>
        <w:spacing w:before="240" w:after="240"/>
        <w:ind w:left="1440"/>
        <w:contextualSpacing/>
        <w:jc w:val="both"/>
        <w:rPr>
          <w:i/>
          <w:iCs/>
          <w:sz w:val="26"/>
          <w:szCs w:val="26"/>
        </w:rPr>
      </w:pPr>
      <w:r w:rsidRPr="00E232A6">
        <w:rPr>
          <w:sz w:val="26"/>
          <w:szCs w:val="26"/>
        </w:rPr>
        <w:t>“</w:t>
      </w:r>
      <w:r w:rsidRPr="00E232A6">
        <w:rPr>
          <w:i/>
          <w:iCs/>
          <w:sz w:val="26"/>
          <w:szCs w:val="26"/>
        </w:rPr>
        <w:t>Art. 1º Os débitos com a Secretaria da Receita Federal do Brasil e a Procuradoria- Geral da Fazenda Nacional de responsabilidade dos Estados, do Distrito Federal e dos Municípios, e de suas autarquias e fundações pública</w:t>
      </w:r>
      <w:r w:rsidR="001D3A8B">
        <w:rPr>
          <w:i/>
          <w:iCs/>
          <w:sz w:val="26"/>
          <w:szCs w:val="26"/>
        </w:rPr>
        <w:t>s</w:t>
      </w:r>
      <w:r w:rsidR="00C8411A">
        <w:rPr>
          <w:i/>
          <w:iCs/>
          <w:sz w:val="26"/>
          <w:szCs w:val="26"/>
        </w:rPr>
        <w:t xml:space="preserve"> </w:t>
      </w:r>
      <w:r w:rsidRPr="00E232A6">
        <w:rPr>
          <w:i/>
          <w:iCs/>
          <w:sz w:val="26"/>
          <w:szCs w:val="26"/>
        </w:rPr>
        <w:t>, relativos às contribuições sociais de que tratam as alíneas a e c do parágrafo único do art. 11 da Lei nº 8.212, de 24 de junho de 1991, inclusive os decorrentes do descump</w:t>
      </w:r>
      <w:r w:rsidR="00D87EDE">
        <w:rPr>
          <w:i/>
          <w:iCs/>
          <w:sz w:val="26"/>
          <w:szCs w:val="26"/>
        </w:rPr>
        <w:t>ri</w:t>
      </w:r>
      <w:r w:rsidRPr="00E232A6">
        <w:rPr>
          <w:i/>
          <w:iCs/>
          <w:sz w:val="26"/>
          <w:szCs w:val="26"/>
        </w:rPr>
        <w:t>mento de obrigações acessórias, v</w:t>
      </w:r>
      <w:r w:rsidRPr="00E232A6">
        <w:rPr>
          <w:i/>
          <w:iCs/>
          <w:sz w:val="26"/>
          <w:szCs w:val="26"/>
          <w:u w:val="single"/>
        </w:rPr>
        <w:t>encidos até 30 de abril de 2017,</w:t>
      </w:r>
      <w:r w:rsidRPr="00E232A6">
        <w:rPr>
          <w:i/>
          <w:iCs/>
          <w:sz w:val="26"/>
          <w:szCs w:val="26"/>
        </w:rPr>
        <w:t xml:space="preserve"> e os de contribuições incidentes sobre o décimo terceiro salário, constituídos ou não , inscritos ou não em dívida ativa da União, ainda que em fase  de execução fiscal já ajuizada, ou que tenham sido objeto de parcelamento anterior não </w:t>
      </w:r>
      <w:r w:rsidRPr="00E232A6">
        <w:rPr>
          <w:i/>
          <w:iCs/>
          <w:sz w:val="26"/>
          <w:szCs w:val="26"/>
        </w:rPr>
        <w:t>integralmente quitado, poderão ser pagos e</w:t>
      </w:r>
      <w:r w:rsidRPr="00E232A6">
        <w:rPr>
          <w:i/>
          <w:iCs/>
          <w:sz w:val="26"/>
          <w:szCs w:val="26"/>
          <w:u w:val="single"/>
        </w:rPr>
        <w:t>m até duzentas parcelas,</w:t>
      </w:r>
      <w:r w:rsidRPr="00E232A6">
        <w:rPr>
          <w:i/>
          <w:iCs/>
          <w:sz w:val="26"/>
          <w:szCs w:val="26"/>
        </w:rPr>
        <w:t xml:space="preserve"> conforme disposto nesta lei.</w:t>
      </w:r>
    </w:p>
    <w:p w:rsidR="006E6096" w:rsidRPr="00E232A6" w:rsidP="006E6096" w14:paraId="42CC7216" w14:textId="77777777">
      <w:pPr>
        <w:spacing w:before="240" w:after="240"/>
        <w:ind w:left="1440"/>
        <w:contextualSpacing/>
        <w:jc w:val="both"/>
        <w:rPr>
          <w:i/>
          <w:iCs/>
          <w:sz w:val="26"/>
          <w:szCs w:val="26"/>
        </w:rPr>
      </w:pPr>
    </w:p>
    <w:p w:rsidR="00EB7A3F" w:rsidRPr="00E232A6" w:rsidP="00AD3A84" w14:paraId="12289679" w14:textId="1F76FD96">
      <w:pPr>
        <w:spacing w:before="240" w:after="240"/>
        <w:contextualSpacing/>
        <w:jc w:val="both"/>
        <w:rPr>
          <w:sz w:val="26"/>
          <w:szCs w:val="26"/>
        </w:rPr>
      </w:pPr>
      <w:r w:rsidRPr="00E232A6">
        <w:rPr>
          <w:sz w:val="26"/>
          <w:szCs w:val="26"/>
        </w:rPr>
        <w:t xml:space="preserve">Necessário mencionar que era pacificado dentro do entendimento do Tribunal de Contas o abono destes débitos amparados pela edição da </w:t>
      </w:r>
      <w:r w:rsidR="007028AF">
        <w:rPr>
          <w:sz w:val="26"/>
          <w:szCs w:val="26"/>
        </w:rPr>
        <w:t>legislação federal (</w:t>
      </w:r>
      <w:r w:rsidR="008029CA">
        <w:rPr>
          <w:sz w:val="26"/>
          <w:szCs w:val="26"/>
        </w:rPr>
        <w:t xml:space="preserve">Lei Federal </w:t>
      </w:r>
      <w:r w:rsidRPr="00E232A6" w:rsidR="007028AF">
        <w:rPr>
          <w:sz w:val="26"/>
          <w:szCs w:val="26"/>
        </w:rPr>
        <w:t>nº 13.485 de 02 de outubro de 2.017.</w:t>
      </w:r>
      <w:r w:rsidR="007028AF">
        <w:rPr>
          <w:sz w:val="26"/>
          <w:szCs w:val="26"/>
        </w:rPr>
        <w:t>)</w:t>
      </w:r>
      <w:r w:rsidRPr="00E232A6">
        <w:rPr>
          <w:sz w:val="26"/>
          <w:szCs w:val="26"/>
        </w:rPr>
        <w:t xml:space="preserve">, </w:t>
      </w:r>
      <w:r w:rsidRPr="00E232A6">
        <w:rPr>
          <w:sz w:val="26"/>
          <w:szCs w:val="26"/>
          <w:u w:val="single"/>
        </w:rPr>
        <w:t>DESDE QUE</w:t>
      </w:r>
      <w:r w:rsidRPr="00E232A6">
        <w:rPr>
          <w:sz w:val="26"/>
          <w:szCs w:val="26"/>
        </w:rPr>
        <w:t xml:space="preserve"> enquadrados dentro dos limites de vencimento de débitos estipulados pela Lei</w:t>
      </w:r>
      <w:r w:rsidR="007028AF">
        <w:rPr>
          <w:sz w:val="26"/>
          <w:szCs w:val="26"/>
        </w:rPr>
        <w:t xml:space="preserve"> (</w:t>
      </w:r>
      <w:r w:rsidR="008029CA">
        <w:rPr>
          <w:sz w:val="26"/>
          <w:szCs w:val="26"/>
        </w:rPr>
        <w:t xml:space="preserve">Lei Federal </w:t>
      </w:r>
      <w:r w:rsidRPr="00E232A6" w:rsidR="007028AF">
        <w:rPr>
          <w:sz w:val="26"/>
          <w:szCs w:val="26"/>
        </w:rPr>
        <w:t>nº 13.485 de 02 de outubro de 2.017</w:t>
      </w:r>
      <w:r w:rsidR="007028AF">
        <w:rPr>
          <w:sz w:val="26"/>
          <w:szCs w:val="26"/>
        </w:rPr>
        <w:t>)</w:t>
      </w:r>
      <w:r w:rsidRPr="00E232A6">
        <w:rPr>
          <w:sz w:val="26"/>
          <w:szCs w:val="26"/>
        </w:rPr>
        <w:t>. Portanto, tal situação não pode ser abonada pela jurisprudência favorável da Corte. Cita-se:</w:t>
      </w:r>
    </w:p>
    <w:p w:rsidR="0071292F" w:rsidRPr="00E232A6" w:rsidP="00AD3A84" w14:paraId="312BBEA9" w14:textId="77777777">
      <w:pPr>
        <w:spacing w:before="240" w:after="240"/>
        <w:contextualSpacing/>
        <w:jc w:val="both"/>
        <w:rPr>
          <w:sz w:val="26"/>
          <w:szCs w:val="26"/>
        </w:rPr>
      </w:pPr>
    </w:p>
    <w:p w:rsidR="00EB7A3F" w:rsidRPr="00E232A6" w:rsidP="00AD3A84" w14:paraId="3A216B43" w14:textId="0743F359">
      <w:pPr>
        <w:spacing w:before="240" w:after="240"/>
        <w:ind w:left="1440"/>
        <w:contextualSpacing/>
        <w:jc w:val="both"/>
        <w:rPr>
          <w:i/>
          <w:iCs/>
          <w:sz w:val="26"/>
          <w:szCs w:val="26"/>
        </w:rPr>
      </w:pPr>
      <w:r w:rsidRPr="00E232A6">
        <w:rPr>
          <w:i/>
          <w:iCs/>
          <w:sz w:val="26"/>
          <w:szCs w:val="26"/>
        </w:rPr>
        <w:t>“[...] Destarte, a Prefeitura não poderia ter deixado de cumprir obrigação de recolhimento de obrigação tributária, uma vez que imposta por norma própria, alheia à margem de discricionariedade do Gestor, necessária e vinculada ao custeio das obrigações contraídas ao sistema previdenciário.” (trecho retirado do Parecer)</w:t>
      </w:r>
    </w:p>
    <w:p w:rsidR="008634BD" w:rsidRPr="00E232A6" w:rsidP="00AD3A84" w14:paraId="54DB5AD9" w14:textId="77777777">
      <w:pPr>
        <w:spacing w:before="240" w:after="240"/>
        <w:ind w:left="1440"/>
        <w:contextualSpacing/>
        <w:jc w:val="both"/>
        <w:rPr>
          <w:sz w:val="26"/>
          <w:szCs w:val="26"/>
        </w:rPr>
      </w:pPr>
    </w:p>
    <w:p w:rsidR="006E6096" w:rsidRPr="00E232A6" w:rsidP="00AD3A84" w14:paraId="125710AE" w14:textId="77777777">
      <w:pPr>
        <w:spacing w:before="240" w:after="240"/>
        <w:contextualSpacing/>
        <w:jc w:val="both"/>
        <w:rPr>
          <w:sz w:val="26"/>
          <w:szCs w:val="26"/>
        </w:rPr>
      </w:pPr>
      <w:r w:rsidRPr="00E232A6">
        <w:rPr>
          <w:sz w:val="26"/>
          <w:szCs w:val="26"/>
        </w:rPr>
        <w:t>Destacou que a falta de quitação dos encargos sociais é prejudicial à gestão fiscal responsável, na medida que transfere dívida imediata ao pagamento futuro, com recursos de outros exercícios, frisando ainda, que tal conduta ocasionou multa de mora que majorou a dívida do município em R$ 822.401,04 (oitocentos e vinte e dois mil quatrocentos e um reais e quatro centavos). Pontuou ainda que tais situações comprometem no futuro o financiamento de programas governamentais</w:t>
      </w:r>
      <w:r w:rsidRPr="00E232A6" w:rsidR="00233365">
        <w:rPr>
          <w:sz w:val="26"/>
          <w:szCs w:val="26"/>
        </w:rPr>
        <w:t xml:space="preserve">. </w:t>
      </w:r>
    </w:p>
    <w:p w:rsidR="006E6096" w:rsidRPr="00E232A6" w:rsidP="00AD3A84" w14:paraId="556B1F84" w14:textId="77777777">
      <w:pPr>
        <w:spacing w:before="240" w:after="240"/>
        <w:contextualSpacing/>
        <w:jc w:val="both"/>
        <w:rPr>
          <w:sz w:val="26"/>
          <w:szCs w:val="26"/>
        </w:rPr>
      </w:pPr>
    </w:p>
    <w:p w:rsidR="00EB7A3F" w:rsidRPr="00E232A6" w:rsidP="00AD3A84" w14:paraId="2F1CB1DF" w14:textId="3B5B3A78">
      <w:pPr>
        <w:spacing w:before="240" w:after="240"/>
        <w:contextualSpacing/>
        <w:jc w:val="both"/>
        <w:rPr>
          <w:sz w:val="26"/>
          <w:szCs w:val="26"/>
        </w:rPr>
      </w:pPr>
      <w:r w:rsidRPr="00E232A6">
        <w:rPr>
          <w:sz w:val="26"/>
          <w:szCs w:val="26"/>
        </w:rPr>
        <w:t xml:space="preserve">Foi </w:t>
      </w:r>
      <w:r w:rsidRPr="00E232A6" w:rsidR="00545A3C">
        <w:rPr>
          <w:sz w:val="26"/>
          <w:szCs w:val="26"/>
        </w:rPr>
        <w:t>constatado</w:t>
      </w:r>
      <w:r w:rsidRPr="00E232A6">
        <w:rPr>
          <w:sz w:val="26"/>
          <w:szCs w:val="26"/>
        </w:rPr>
        <w:t xml:space="preserve"> </w:t>
      </w:r>
      <w:r w:rsidRPr="00E232A6" w:rsidR="003E3BBC">
        <w:rPr>
          <w:sz w:val="26"/>
          <w:szCs w:val="26"/>
        </w:rPr>
        <w:t>ainda</w:t>
      </w:r>
      <w:r w:rsidRPr="00E232A6" w:rsidR="00DC6752">
        <w:rPr>
          <w:sz w:val="26"/>
          <w:szCs w:val="26"/>
        </w:rPr>
        <w:t>, que a municipalidade procedeu com a celebração de outros 02 (dois) acordos de reparcelamento de dívidas</w:t>
      </w:r>
      <w:r w:rsidRPr="00E232A6" w:rsidR="0041493A">
        <w:rPr>
          <w:sz w:val="26"/>
          <w:szCs w:val="26"/>
        </w:rPr>
        <w:t>, assinados em 29/12/2017 e 18/01/2018</w:t>
      </w:r>
      <w:r w:rsidRPr="00E232A6" w:rsidR="00270C39">
        <w:rPr>
          <w:sz w:val="26"/>
          <w:szCs w:val="26"/>
        </w:rPr>
        <w:t>, quando já se havia esgotado o prazo concedido</w:t>
      </w:r>
      <w:r w:rsidRPr="00E232A6" w:rsidR="00545A3C">
        <w:rPr>
          <w:sz w:val="26"/>
          <w:szCs w:val="26"/>
        </w:rPr>
        <w:t xml:space="preserve">, nas condições especiais estabelecidas. </w:t>
      </w:r>
      <w:r w:rsidRPr="00E232A6">
        <w:rPr>
          <w:sz w:val="26"/>
          <w:szCs w:val="26"/>
          <w:u w:val="single"/>
        </w:rPr>
        <w:t>Tal situação foi considerada suficiente para a REJEIÇÃO das contas.</w:t>
      </w:r>
    </w:p>
    <w:p w:rsidR="0071292F" w:rsidRPr="00E232A6" w:rsidP="00AD3A84" w14:paraId="4A37E25E" w14:textId="77777777">
      <w:pPr>
        <w:spacing w:before="240" w:after="240"/>
        <w:contextualSpacing/>
        <w:jc w:val="both"/>
        <w:rPr>
          <w:sz w:val="26"/>
          <w:szCs w:val="26"/>
        </w:rPr>
      </w:pPr>
    </w:p>
    <w:p w:rsidR="00EB7A3F" w:rsidRPr="00E232A6" w:rsidP="00AD3A84" w14:paraId="7AE08B41" w14:textId="5CF40531">
      <w:pPr>
        <w:spacing w:before="240" w:after="240"/>
        <w:contextualSpacing/>
        <w:jc w:val="both"/>
        <w:rPr>
          <w:sz w:val="26"/>
          <w:szCs w:val="26"/>
        </w:rPr>
      </w:pPr>
      <w:r w:rsidRPr="00E232A6">
        <w:rPr>
          <w:sz w:val="26"/>
          <w:szCs w:val="26"/>
        </w:rPr>
        <w:t xml:space="preserve">Em resposta a estes apontamentos, a Prefeitura Municipal de Mogi Mirim interpôs pedido de Reexame ao Parecer </w:t>
      </w:r>
      <w:r w:rsidRPr="00E232A6" w:rsidR="00233365">
        <w:rPr>
          <w:sz w:val="26"/>
          <w:szCs w:val="26"/>
        </w:rPr>
        <w:t xml:space="preserve">Prévio </w:t>
      </w:r>
      <w:r w:rsidRPr="00E232A6">
        <w:rPr>
          <w:sz w:val="26"/>
          <w:szCs w:val="26"/>
        </w:rPr>
        <w:t>Desfavorável defendendo e justificando os atos do executivo na tentativa de reverter a decisão do tribunal.</w:t>
      </w:r>
    </w:p>
    <w:p w:rsidR="0071292F" w:rsidRPr="00E232A6" w:rsidP="00AD3A84" w14:paraId="187808DD" w14:textId="77777777">
      <w:pPr>
        <w:spacing w:before="240" w:after="240"/>
        <w:contextualSpacing/>
        <w:jc w:val="both"/>
        <w:rPr>
          <w:sz w:val="26"/>
          <w:szCs w:val="26"/>
        </w:rPr>
      </w:pPr>
    </w:p>
    <w:p w:rsidR="00EB7A3F" w:rsidRPr="00E232A6" w:rsidP="00AD3A84" w14:paraId="134B3540" w14:textId="4FF8B484">
      <w:pPr>
        <w:spacing w:before="240" w:after="240"/>
        <w:contextualSpacing/>
        <w:jc w:val="both"/>
        <w:rPr>
          <w:sz w:val="26"/>
          <w:szCs w:val="26"/>
        </w:rPr>
      </w:pPr>
      <w:r w:rsidRPr="00E232A6">
        <w:rPr>
          <w:sz w:val="26"/>
          <w:szCs w:val="26"/>
        </w:rPr>
        <w:t>Argumenta inicialmente sobre as disponibilidades financeiras e de restos a pagar,</w:t>
      </w:r>
      <w:r w:rsidRPr="00E232A6" w:rsidR="001C3421">
        <w:rPr>
          <w:sz w:val="26"/>
          <w:szCs w:val="26"/>
        </w:rPr>
        <w:t xml:space="preserve"> herdadas, </w:t>
      </w:r>
      <w:r w:rsidRPr="00E232A6">
        <w:rPr>
          <w:sz w:val="26"/>
          <w:szCs w:val="26"/>
        </w:rPr>
        <w:t xml:space="preserve"> onde no exercício de 2</w:t>
      </w:r>
      <w:r w:rsidRPr="00E232A6" w:rsidR="001C3421">
        <w:rPr>
          <w:sz w:val="26"/>
          <w:szCs w:val="26"/>
        </w:rPr>
        <w:t>.</w:t>
      </w:r>
      <w:r w:rsidRPr="00E232A6">
        <w:rPr>
          <w:sz w:val="26"/>
          <w:szCs w:val="26"/>
        </w:rPr>
        <w:t xml:space="preserve">017 a nova gestão se deparou com a disponibilidade financeira na ordem de R$ 25.375.607,69 (vinte e cinco milhões,  trezentos e setenta e cinco mil seiscentos e sete reais e sessenta e nove centavos), da qual, apenas o valor de R$ 4.743.729,60 (quatro milhões, setecentos e quarenta e três mil setecentos e vinte e nove reais sessenta centavos) era referente a recursos próprios, estando nele contido o valor de R$ 1.793.526,72 (um milhão, setecentos e noventa e três mil quinhentos e vinte e seis reais e setenta e dois centavos) com destinação específica proveniente da CIP - Contribuição sobre Iluminação Pública. Em contrapartida, foi identificado restos a pagar do exercício de 2.016 a </w:t>
      </w:r>
      <w:r w:rsidRPr="00E232A6" w:rsidR="001C3421">
        <w:rPr>
          <w:sz w:val="26"/>
          <w:szCs w:val="26"/>
        </w:rPr>
        <w:t xml:space="preserve">incrível </w:t>
      </w:r>
      <w:r w:rsidRPr="00E232A6">
        <w:rPr>
          <w:sz w:val="26"/>
          <w:szCs w:val="26"/>
        </w:rPr>
        <w:t>quantia de R$ 30.033.496,63 (trinta milhões, trinta e três mil quatrocentos e noventa e seis reais e sessenta e três centavos).</w:t>
      </w:r>
    </w:p>
    <w:p w:rsidR="0071292F" w:rsidRPr="00E232A6" w:rsidP="00AD3A84" w14:paraId="13320891" w14:textId="77777777">
      <w:pPr>
        <w:spacing w:before="240" w:after="240"/>
        <w:contextualSpacing/>
        <w:jc w:val="both"/>
        <w:rPr>
          <w:sz w:val="26"/>
          <w:szCs w:val="26"/>
        </w:rPr>
      </w:pPr>
    </w:p>
    <w:p w:rsidR="00EB7A3F" w:rsidRPr="00E232A6" w:rsidP="00AD3A84" w14:paraId="47469CCF" w14:textId="63E7F575">
      <w:pPr>
        <w:spacing w:before="240" w:after="240"/>
        <w:contextualSpacing/>
        <w:jc w:val="both"/>
        <w:rPr>
          <w:sz w:val="26"/>
          <w:szCs w:val="26"/>
        </w:rPr>
      </w:pPr>
      <w:r w:rsidRPr="00E232A6">
        <w:rPr>
          <w:sz w:val="26"/>
          <w:szCs w:val="26"/>
        </w:rPr>
        <w:t>Este</w:t>
      </w:r>
      <w:r w:rsidRPr="00E232A6">
        <w:rPr>
          <w:sz w:val="26"/>
          <w:szCs w:val="26"/>
        </w:rPr>
        <w:t xml:space="preserve"> saldo devedor refere</w:t>
      </w:r>
      <w:r w:rsidRPr="00E232A6">
        <w:rPr>
          <w:sz w:val="26"/>
          <w:szCs w:val="26"/>
        </w:rPr>
        <w:t>-</w:t>
      </w:r>
      <w:r w:rsidRPr="00E232A6">
        <w:rPr>
          <w:sz w:val="26"/>
          <w:szCs w:val="26"/>
        </w:rPr>
        <w:t xml:space="preserve">se a: subvenções sociais para entidades do terceiro setor; dívidas com os fornecedores e prestadores de serviço para prefeitura; dívida com o SAAE; débito com a Irmandade da Santa Casa, entre outros. Os referidos fornecedores exercem papel importante nos atendimentos de saúde e assistência social e sua continuidade ficaria comprometida, se não fosse procedido com os </w:t>
      </w:r>
      <w:r w:rsidRPr="00E232A6">
        <w:rPr>
          <w:sz w:val="26"/>
          <w:szCs w:val="26"/>
        </w:rPr>
        <w:t>pagamentos devidos</w:t>
      </w:r>
      <w:r w:rsidRPr="00E232A6">
        <w:rPr>
          <w:sz w:val="26"/>
          <w:szCs w:val="26"/>
        </w:rPr>
        <w:t xml:space="preserve">. Para solucionar tal situação, a Prefeitura logo no início da gestão </w:t>
      </w:r>
      <w:r w:rsidR="00D87EDE">
        <w:rPr>
          <w:sz w:val="26"/>
          <w:szCs w:val="26"/>
        </w:rPr>
        <w:t>editou</w:t>
      </w:r>
      <w:r w:rsidRPr="00E232A6">
        <w:rPr>
          <w:sz w:val="26"/>
          <w:szCs w:val="26"/>
        </w:rPr>
        <w:t xml:space="preserve"> o Decreto nº 7.440/2017</w:t>
      </w:r>
      <w:r w:rsidR="00D87EDE">
        <w:rPr>
          <w:sz w:val="26"/>
          <w:szCs w:val="26"/>
        </w:rPr>
        <w:t xml:space="preserve"> (alterado pelo Decreto n º 7.515/17) em concordância com a Lei Municipal 5.881/17 </w:t>
      </w:r>
      <w:r w:rsidRPr="00E232A6">
        <w:rPr>
          <w:sz w:val="26"/>
          <w:szCs w:val="26"/>
        </w:rPr>
        <w:t xml:space="preserve">que possibilitou o parcelamento das inúmeras dívidas deixadas pela gestão anterior, que consequentemente comprometeu parte do orçamento público. Conta ainda, que além do montante das dívidas, </w:t>
      </w:r>
      <w:r w:rsidRPr="00E232A6">
        <w:rPr>
          <w:sz w:val="26"/>
          <w:szCs w:val="26"/>
        </w:rPr>
        <w:t>havia</w:t>
      </w:r>
      <w:r w:rsidRPr="00E232A6">
        <w:rPr>
          <w:sz w:val="26"/>
          <w:szCs w:val="26"/>
        </w:rPr>
        <w:t xml:space="preserve"> despesas dos exercícios anteriores</w:t>
      </w:r>
      <w:r w:rsidR="009E2377">
        <w:rPr>
          <w:sz w:val="26"/>
          <w:szCs w:val="26"/>
        </w:rPr>
        <w:t xml:space="preserve"> (2.014-2.01</w:t>
      </w:r>
      <w:r w:rsidR="000764EE">
        <w:rPr>
          <w:sz w:val="26"/>
          <w:szCs w:val="26"/>
        </w:rPr>
        <w:t>6)</w:t>
      </w:r>
      <w:r w:rsidRPr="00E232A6">
        <w:rPr>
          <w:sz w:val="26"/>
          <w:szCs w:val="26"/>
        </w:rPr>
        <w:t xml:space="preserve"> que não foram nem empenhadas</w:t>
      </w:r>
      <w:r w:rsidRPr="00E232A6">
        <w:rPr>
          <w:sz w:val="26"/>
          <w:szCs w:val="26"/>
        </w:rPr>
        <w:t xml:space="preserve">, </w:t>
      </w:r>
      <w:r w:rsidRPr="00E232A6">
        <w:rPr>
          <w:sz w:val="26"/>
          <w:szCs w:val="26"/>
        </w:rPr>
        <w:t xml:space="preserve">procedimento </w:t>
      </w:r>
      <w:r w:rsidRPr="00E232A6">
        <w:rPr>
          <w:sz w:val="26"/>
          <w:szCs w:val="26"/>
        </w:rPr>
        <w:t xml:space="preserve">este, </w:t>
      </w:r>
      <w:r w:rsidRPr="00E232A6">
        <w:rPr>
          <w:sz w:val="26"/>
          <w:szCs w:val="26"/>
        </w:rPr>
        <w:t>obrigatório para execução de</w:t>
      </w:r>
      <w:r w:rsidRPr="00E232A6">
        <w:rPr>
          <w:sz w:val="26"/>
          <w:szCs w:val="26"/>
        </w:rPr>
        <w:t xml:space="preserve"> qualquer</w:t>
      </w:r>
      <w:r w:rsidRPr="00E232A6">
        <w:rPr>
          <w:sz w:val="26"/>
          <w:szCs w:val="26"/>
        </w:rPr>
        <w:t xml:space="preserve"> despesa</w:t>
      </w:r>
      <w:r w:rsidRPr="00E232A6">
        <w:rPr>
          <w:sz w:val="26"/>
          <w:szCs w:val="26"/>
        </w:rPr>
        <w:t xml:space="preserve"> pública</w:t>
      </w:r>
      <w:r w:rsidRPr="00E232A6">
        <w:rPr>
          <w:sz w:val="26"/>
          <w:szCs w:val="26"/>
        </w:rPr>
        <w:t>.</w:t>
      </w:r>
    </w:p>
    <w:p w:rsidR="0071292F" w:rsidRPr="00E232A6" w:rsidP="00AD3A84" w14:paraId="58DA614D" w14:textId="77777777">
      <w:pPr>
        <w:spacing w:before="240" w:after="240"/>
        <w:contextualSpacing/>
        <w:jc w:val="both"/>
        <w:rPr>
          <w:sz w:val="26"/>
          <w:szCs w:val="26"/>
        </w:rPr>
      </w:pPr>
    </w:p>
    <w:p w:rsidR="00EB7A3F" w:rsidRPr="00E232A6" w:rsidP="00AD3A84" w14:paraId="7AFA92C1" w14:textId="2EADFDA2">
      <w:pPr>
        <w:spacing w:before="240" w:after="240"/>
        <w:contextualSpacing/>
        <w:jc w:val="both"/>
        <w:rPr>
          <w:sz w:val="26"/>
          <w:szCs w:val="26"/>
        </w:rPr>
      </w:pPr>
      <w:r w:rsidRPr="00E232A6">
        <w:rPr>
          <w:sz w:val="26"/>
          <w:szCs w:val="26"/>
        </w:rPr>
        <w:t xml:space="preserve">Outro ponto que demonstra a atipicidade do exercício, foi a herança de uma dívida junto ao Serviço Autônomo de Água e Esgoto - SAAE Mogi Mirim, no valor de R$ 17.906.661,47 (dezessete milhões, novecentos e seis mil seiscentos e sessenta e um reais e quarenta e sete centavos) referente ao não pagamento de valores tarifários que precisaram ser </w:t>
      </w:r>
      <w:r w:rsidRPr="00E232A6" w:rsidR="00265431">
        <w:rPr>
          <w:sz w:val="26"/>
          <w:szCs w:val="26"/>
        </w:rPr>
        <w:t xml:space="preserve">igualmente </w:t>
      </w:r>
      <w:r w:rsidRPr="00E232A6">
        <w:rPr>
          <w:sz w:val="26"/>
          <w:szCs w:val="26"/>
        </w:rPr>
        <w:t>parcelados (Lei Municipal nº 5.945</w:t>
      </w:r>
      <w:r w:rsidR="00D87EDE">
        <w:rPr>
          <w:sz w:val="26"/>
          <w:szCs w:val="26"/>
        </w:rPr>
        <w:t>/</w:t>
      </w:r>
      <w:r w:rsidRPr="00E232A6">
        <w:rPr>
          <w:sz w:val="26"/>
          <w:szCs w:val="26"/>
        </w:rPr>
        <w:t>17).</w:t>
      </w:r>
    </w:p>
    <w:p w:rsidR="0071292F" w:rsidRPr="00E232A6" w:rsidP="00AD3A84" w14:paraId="6CE72794" w14:textId="77777777">
      <w:pPr>
        <w:spacing w:before="240" w:after="240"/>
        <w:contextualSpacing/>
        <w:jc w:val="both"/>
        <w:rPr>
          <w:sz w:val="26"/>
          <w:szCs w:val="26"/>
        </w:rPr>
      </w:pPr>
    </w:p>
    <w:p w:rsidR="00EB7A3F" w:rsidRPr="00E232A6" w:rsidP="00AD3A84" w14:paraId="79DCE2FB" w14:textId="682234F2">
      <w:pPr>
        <w:spacing w:before="240" w:after="240"/>
        <w:contextualSpacing/>
        <w:jc w:val="both"/>
        <w:rPr>
          <w:sz w:val="26"/>
          <w:szCs w:val="26"/>
        </w:rPr>
      </w:pPr>
      <w:r w:rsidRPr="00E232A6">
        <w:rPr>
          <w:sz w:val="26"/>
          <w:szCs w:val="26"/>
        </w:rPr>
        <w:t xml:space="preserve">Complementou, no que se refere às dívidas herdadas, a obrigatoriedade do pagamento de despesas judiciais - precatórios e ofícios requisitórios e de pequeno valor, que somados alcançam o expressivo valor de R$ 5.766.347,32 (cinco milhões setecentos e sessenta e seis mil trezentos e quarenta e sete reais e trinta e dois centavos).  Deste montante, R$ 1.090.428,48 (um milhão, noventa mil quatrocentos e vinte e oito reais e quarenta e oito centavos) foram pagos nos meses de outubro e </w:t>
      </w:r>
      <w:r w:rsidR="0049742C">
        <w:rPr>
          <w:sz w:val="26"/>
          <w:szCs w:val="26"/>
        </w:rPr>
        <w:t>deze</w:t>
      </w:r>
      <w:r w:rsidRPr="00E232A6">
        <w:rPr>
          <w:sz w:val="26"/>
          <w:szCs w:val="26"/>
        </w:rPr>
        <w:t>mbro de 2.017, período ao qual se fez necessário o adiamento do pagamento dos encargos.</w:t>
      </w:r>
    </w:p>
    <w:p w:rsidR="0071292F" w:rsidRPr="00E232A6" w:rsidP="00AD3A84" w14:paraId="6F88CF84" w14:textId="77777777">
      <w:pPr>
        <w:spacing w:before="240" w:after="240"/>
        <w:contextualSpacing/>
        <w:jc w:val="both"/>
        <w:rPr>
          <w:sz w:val="26"/>
          <w:szCs w:val="26"/>
        </w:rPr>
      </w:pPr>
    </w:p>
    <w:p w:rsidR="00EB7A3F" w:rsidRPr="00E232A6" w:rsidP="00AD3A84" w14:paraId="29FCB48A" w14:textId="6E8DDAEF">
      <w:pPr>
        <w:spacing w:before="240" w:after="240"/>
        <w:contextualSpacing/>
        <w:jc w:val="both"/>
        <w:rPr>
          <w:sz w:val="26"/>
          <w:szCs w:val="26"/>
        </w:rPr>
      </w:pPr>
      <w:r w:rsidRPr="00E232A6">
        <w:rPr>
          <w:sz w:val="26"/>
          <w:szCs w:val="26"/>
        </w:rPr>
        <w:t xml:space="preserve">Destacou ainda, que mesmo diante do referido caos orçamentário, a Prefeitura Municipal encerrou o exercício de 2.017 com um superávit financeiro, conseguindo </w:t>
      </w:r>
      <w:r w:rsidRPr="00E232A6">
        <w:rPr>
          <w:sz w:val="26"/>
          <w:szCs w:val="26"/>
          <w:u w:val="single"/>
        </w:rPr>
        <w:t xml:space="preserve">reverter uma série histórica de déficit orçamentário, </w:t>
      </w:r>
      <w:r w:rsidRPr="00E232A6">
        <w:rPr>
          <w:sz w:val="26"/>
          <w:szCs w:val="26"/>
        </w:rPr>
        <w:t>que havia se instalado no município desde o ano de 2</w:t>
      </w:r>
      <w:r w:rsidRPr="00E232A6" w:rsidR="00C377E9">
        <w:rPr>
          <w:sz w:val="26"/>
          <w:szCs w:val="26"/>
        </w:rPr>
        <w:t>.</w:t>
      </w:r>
      <w:r w:rsidRPr="00E232A6">
        <w:rPr>
          <w:sz w:val="26"/>
          <w:szCs w:val="26"/>
        </w:rPr>
        <w:t xml:space="preserve">014, tendo um índice negativo de -3,13% em 2.014; - 4,41% em 2.015 e - 0,65% em 2.016. Para fins de esclarecimentos, foi informado que tal valor de superávit não poderia ser utilizado para pagamento dos encargos </w:t>
      </w:r>
      <w:r w:rsidRPr="00E232A6" w:rsidR="00C377E9">
        <w:rPr>
          <w:sz w:val="26"/>
          <w:szCs w:val="26"/>
        </w:rPr>
        <w:t xml:space="preserve">devidos, </w:t>
      </w:r>
      <w:r w:rsidRPr="00E232A6">
        <w:rPr>
          <w:sz w:val="26"/>
          <w:szCs w:val="26"/>
        </w:rPr>
        <w:t xml:space="preserve">pois </w:t>
      </w:r>
      <w:r w:rsidRPr="00E232A6">
        <w:rPr>
          <w:sz w:val="26"/>
          <w:szCs w:val="26"/>
          <w:u w:val="single"/>
        </w:rPr>
        <w:t>possuíam aplicação vinculada</w:t>
      </w:r>
      <w:r w:rsidRPr="00E232A6">
        <w:rPr>
          <w:sz w:val="26"/>
          <w:szCs w:val="26"/>
        </w:rPr>
        <w:t>, portanto</w:t>
      </w:r>
      <w:r w:rsidRPr="00E232A6" w:rsidR="00E13685">
        <w:rPr>
          <w:sz w:val="26"/>
          <w:szCs w:val="26"/>
        </w:rPr>
        <w:t>,</w:t>
      </w:r>
      <w:r w:rsidRPr="00E232A6">
        <w:rPr>
          <w:sz w:val="26"/>
          <w:szCs w:val="26"/>
        </w:rPr>
        <w:t xml:space="preserve"> com destino específico de uso.</w:t>
      </w:r>
    </w:p>
    <w:p w:rsidR="0071292F" w:rsidRPr="00E232A6" w:rsidP="00AD3A84" w14:paraId="5314F6E3" w14:textId="77777777">
      <w:pPr>
        <w:spacing w:before="240" w:after="240"/>
        <w:contextualSpacing/>
        <w:jc w:val="both"/>
        <w:rPr>
          <w:sz w:val="26"/>
          <w:szCs w:val="26"/>
        </w:rPr>
      </w:pPr>
    </w:p>
    <w:p w:rsidR="00EB7A3F" w:rsidRPr="00E232A6" w:rsidP="00AD3A84" w14:paraId="5EA6E7A0" w14:textId="66504A3D">
      <w:pPr>
        <w:spacing w:before="240" w:after="240"/>
        <w:contextualSpacing/>
        <w:jc w:val="both"/>
        <w:rPr>
          <w:sz w:val="26"/>
          <w:szCs w:val="26"/>
        </w:rPr>
      </w:pPr>
      <w:r w:rsidRPr="00E232A6">
        <w:rPr>
          <w:sz w:val="26"/>
          <w:szCs w:val="26"/>
        </w:rPr>
        <w:t>Vale mencionar, que segundo constatação da Prefeitura, a gestão anterior (2</w:t>
      </w:r>
      <w:r w:rsidRPr="00E232A6" w:rsidR="00E13685">
        <w:rPr>
          <w:sz w:val="26"/>
          <w:szCs w:val="26"/>
        </w:rPr>
        <w:t>.</w:t>
      </w:r>
      <w:r w:rsidRPr="00E232A6">
        <w:rPr>
          <w:sz w:val="26"/>
          <w:szCs w:val="26"/>
        </w:rPr>
        <w:t>013-2</w:t>
      </w:r>
      <w:r w:rsidRPr="00E232A6" w:rsidR="00E13685">
        <w:rPr>
          <w:sz w:val="26"/>
          <w:szCs w:val="26"/>
        </w:rPr>
        <w:t>.</w:t>
      </w:r>
      <w:r w:rsidRPr="00E232A6">
        <w:rPr>
          <w:sz w:val="26"/>
          <w:szCs w:val="26"/>
        </w:rPr>
        <w:t xml:space="preserve">016) vinha constantemente e reiteradamente praticando gravíssima compensação não autorizada pela Receita Federal junto às guias previdenciárias. Esta conduta foi alvo de investigação por parte do Ministério Público local e culminou no ajuizamento de ação criminal por desvio e aplicação indevida de erário público contra os gestores do governo do ex-Prefeito Luís Gustavo Antunes Stupp. Quando isso foi verificado, pelo governo do gestor ex-Prefeito Carlos Nelson Bueno, com intuito de regularizar a situação, foi formalizado denúncia espontânea junto ao órgão, mas que acabou por trazer ao município um passivo inesperado de R$ 15.972.912,95 (quinze milhões, novecentos e setenta e dois </w:t>
      </w:r>
      <w:r w:rsidRPr="00E232A6">
        <w:rPr>
          <w:sz w:val="26"/>
          <w:szCs w:val="26"/>
        </w:rPr>
        <w:t xml:space="preserve">mil, novecentos e doze reais e noventa e cinco centavos) que foram devidamente parcelados. Para sanar esta irregularidade foi necessário o expressivo montante de R$ 2.643.718,17 (dois milhões, seiscentos e quarenta e três mil, setecentos e dezoito reais e dezessete centavos), utilizado para pagamento das parcelas e entrada dos parcelamentos efetuados. A defesa </w:t>
      </w:r>
      <w:r w:rsidRPr="00E232A6" w:rsidR="004E7B30">
        <w:rPr>
          <w:sz w:val="26"/>
          <w:szCs w:val="26"/>
        </w:rPr>
        <w:t>reforça</w:t>
      </w:r>
      <w:r w:rsidRPr="00E232A6">
        <w:rPr>
          <w:sz w:val="26"/>
          <w:szCs w:val="26"/>
        </w:rPr>
        <w:t>, que na verdade a administração recém</w:t>
      </w:r>
      <w:r w:rsidRPr="00E232A6" w:rsidR="004E7B30">
        <w:rPr>
          <w:sz w:val="26"/>
          <w:szCs w:val="26"/>
        </w:rPr>
        <w:t>-</w:t>
      </w:r>
      <w:r w:rsidRPr="00E232A6">
        <w:rPr>
          <w:sz w:val="26"/>
          <w:szCs w:val="26"/>
        </w:rPr>
        <w:t>eleita foi responsável por encerrar no município uma conduta considerada criminosa pelo Ministério Público e pelo Tribunal de Contas, com a denúncia espontânea e o início da regularização das dívidas. </w:t>
      </w:r>
    </w:p>
    <w:p w:rsidR="0071292F" w:rsidRPr="00E232A6" w:rsidP="00AD3A84" w14:paraId="313CF5F4" w14:textId="6087B4CA">
      <w:pPr>
        <w:spacing w:before="240" w:after="240"/>
        <w:contextualSpacing/>
        <w:jc w:val="both"/>
        <w:rPr>
          <w:sz w:val="26"/>
          <w:szCs w:val="26"/>
        </w:rPr>
      </w:pPr>
    </w:p>
    <w:p w:rsidR="00876B49" w:rsidRPr="00E232A6" w:rsidP="00AD3A84" w14:paraId="512F8FA9" w14:textId="124DEB78">
      <w:pPr>
        <w:spacing w:before="240" w:after="240"/>
        <w:contextualSpacing/>
        <w:jc w:val="both"/>
        <w:rPr>
          <w:sz w:val="26"/>
          <w:szCs w:val="26"/>
        </w:rPr>
      </w:pPr>
      <w:r w:rsidRPr="00E232A6">
        <w:rPr>
          <w:sz w:val="26"/>
          <w:szCs w:val="26"/>
        </w:rPr>
        <w:t>Em relação aos reparcelamentos identificados fora do prazo legal</w:t>
      </w:r>
      <w:r w:rsidRPr="00E232A6" w:rsidR="008C162B">
        <w:rPr>
          <w:sz w:val="26"/>
          <w:szCs w:val="26"/>
        </w:rPr>
        <w:t xml:space="preserve"> (29/12/2017 e 18/01/2018)</w:t>
      </w:r>
      <w:r w:rsidRPr="00E232A6">
        <w:rPr>
          <w:sz w:val="26"/>
          <w:szCs w:val="26"/>
        </w:rPr>
        <w:t>, foi comprovado que se tratava de um ac</w:t>
      </w:r>
      <w:r w:rsidRPr="00E232A6" w:rsidR="004269B0">
        <w:rPr>
          <w:sz w:val="26"/>
          <w:szCs w:val="26"/>
        </w:rPr>
        <w:t>réscimo de valores advindas de</w:t>
      </w:r>
      <w:r w:rsidRPr="00E232A6" w:rsidR="008C162B">
        <w:rPr>
          <w:sz w:val="26"/>
          <w:szCs w:val="26"/>
        </w:rPr>
        <w:t xml:space="preserve"> débitos anteriores </w:t>
      </w:r>
      <w:r w:rsidRPr="00E232A6" w:rsidR="00A87CF4">
        <w:rPr>
          <w:sz w:val="26"/>
          <w:szCs w:val="26"/>
        </w:rPr>
        <w:t>(2.007</w:t>
      </w:r>
      <w:r w:rsidRPr="00E232A6" w:rsidR="004269B0">
        <w:rPr>
          <w:sz w:val="26"/>
          <w:szCs w:val="26"/>
        </w:rPr>
        <w:t xml:space="preserve"> </w:t>
      </w:r>
      <w:r w:rsidRPr="00E232A6" w:rsidR="00A87CF4">
        <w:rPr>
          <w:sz w:val="26"/>
          <w:szCs w:val="26"/>
        </w:rPr>
        <w:t xml:space="preserve">e 2.009). Não tendo relação </w:t>
      </w:r>
      <w:r w:rsidRPr="00E232A6" w:rsidR="00AB6B51">
        <w:rPr>
          <w:sz w:val="26"/>
          <w:szCs w:val="26"/>
        </w:rPr>
        <w:t>com eventual</w:t>
      </w:r>
      <w:r w:rsidRPr="00E232A6" w:rsidR="00DC1654">
        <w:rPr>
          <w:sz w:val="26"/>
          <w:szCs w:val="26"/>
        </w:rPr>
        <w:t xml:space="preserve"> nova</w:t>
      </w:r>
      <w:r w:rsidRPr="00E232A6" w:rsidR="00AB6B51">
        <w:rPr>
          <w:sz w:val="26"/>
          <w:szCs w:val="26"/>
        </w:rPr>
        <w:t xml:space="preserve"> inadimplência gerada durante o exercício de 2.017.</w:t>
      </w:r>
      <w:r w:rsidRPr="00E232A6" w:rsidR="00EC0454">
        <w:rPr>
          <w:sz w:val="26"/>
          <w:szCs w:val="26"/>
        </w:rPr>
        <w:t xml:space="preserve"> </w:t>
      </w:r>
    </w:p>
    <w:p w:rsidR="00AB6B51" w:rsidRPr="00E232A6" w:rsidP="00AD3A84" w14:paraId="6CD58619" w14:textId="77777777">
      <w:pPr>
        <w:spacing w:before="240" w:after="240"/>
        <w:contextualSpacing/>
        <w:jc w:val="both"/>
        <w:rPr>
          <w:sz w:val="26"/>
          <w:szCs w:val="26"/>
        </w:rPr>
      </w:pPr>
    </w:p>
    <w:p w:rsidR="00EB7A3F" w:rsidRPr="00E232A6" w:rsidP="00AD3A84" w14:paraId="4410C8A1" w14:textId="0C382247">
      <w:pPr>
        <w:spacing w:before="240" w:after="240"/>
        <w:contextualSpacing/>
        <w:jc w:val="both"/>
        <w:rPr>
          <w:sz w:val="26"/>
          <w:szCs w:val="26"/>
        </w:rPr>
      </w:pPr>
      <w:r w:rsidRPr="00E232A6">
        <w:rPr>
          <w:sz w:val="26"/>
          <w:szCs w:val="26"/>
        </w:rPr>
        <w:t xml:space="preserve">A Prefeitura argumenta que mesmo com o não recolhimento dos encargos </w:t>
      </w:r>
      <w:r w:rsidRPr="00E232A6" w:rsidR="008113B8">
        <w:rPr>
          <w:sz w:val="26"/>
          <w:szCs w:val="26"/>
        </w:rPr>
        <w:t>mencionados,</w:t>
      </w:r>
      <w:r w:rsidRPr="00E232A6">
        <w:rPr>
          <w:sz w:val="26"/>
          <w:szCs w:val="26"/>
        </w:rPr>
        <w:t xml:space="preserve"> logo de imediato foi procedido com a tentativa de regularização (parcelamento), sendo que tal situação (não recolhimento) </w:t>
      </w:r>
      <w:r w:rsidRPr="00E232A6">
        <w:rPr>
          <w:sz w:val="26"/>
          <w:szCs w:val="26"/>
          <w:u w:val="single"/>
        </w:rPr>
        <w:t xml:space="preserve">não voltou a acontecer </w:t>
      </w:r>
      <w:r w:rsidRPr="00E232A6">
        <w:rPr>
          <w:sz w:val="26"/>
          <w:szCs w:val="26"/>
        </w:rPr>
        <w:t xml:space="preserve">até o final do mandato. </w:t>
      </w:r>
      <w:r w:rsidRPr="00E232A6" w:rsidR="008113B8">
        <w:rPr>
          <w:sz w:val="26"/>
          <w:szCs w:val="26"/>
        </w:rPr>
        <w:t>Salienta</w:t>
      </w:r>
      <w:r w:rsidRPr="00E232A6">
        <w:rPr>
          <w:sz w:val="26"/>
          <w:szCs w:val="26"/>
        </w:rPr>
        <w:t xml:space="preserve"> ainda que os compromissos e acordos de parcelamento firmados vem</w:t>
      </w:r>
      <w:r w:rsidRPr="00E232A6" w:rsidR="009539A7">
        <w:rPr>
          <w:sz w:val="26"/>
          <w:szCs w:val="26"/>
        </w:rPr>
        <w:t xml:space="preserve"> </w:t>
      </w:r>
      <w:r w:rsidRPr="00E232A6" w:rsidR="00DE547C">
        <w:rPr>
          <w:sz w:val="26"/>
          <w:szCs w:val="26"/>
        </w:rPr>
        <w:t>sendo</w:t>
      </w:r>
      <w:r w:rsidRPr="00E232A6">
        <w:rPr>
          <w:sz w:val="26"/>
          <w:szCs w:val="26"/>
        </w:rPr>
        <w:t xml:space="preserve"> rigorosamente </w:t>
      </w:r>
      <w:r w:rsidRPr="00E232A6" w:rsidR="00876B49">
        <w:rPr>
          <w:sz w:val="26"/>
          <w:szCs w:val="26"/>
        </w:rPr>
        <w:t>cumpridos</w:t>
      </w:r>
      <w:r w:rsidRPr="00E232A6">
        <w:rPr>
          <w:sz w:val="26"/>
          <w:szCs w:val="26"/>
        </w:rPr>
        <w:t xml:space="preserve"> pela administração.</w:t>
      </w:r>
    </w:p>
    <w:p w:rsidR="0071292F" w:rsidRPr="00E232A6" w:rsidP="00AD3A84" w14:paraId="46979ED7" w14:textId="77777777">
      <w:pPr>
        <w:spacing w:before="240" w:after="240"/>
        <w:contextualSpacing/>
        <w:jc w:val="both"/>
        <w:rPr>
          <w:sz w:val="26"/>
          <w:szCs w:val="26"/>
        </w:rPr>
      </w:pPr>
    </w:p>
    <w:p w:rsidR="00EB7A3F" w:rsidRPr="00E232A6" w:rsidP="00AD3A84" w14:paraId="52EDAAB8" w14:textId="41B56703">
      <w:pPr>
        <w:spacing w:before="240" w:after="240"/>
        <w:contextualSpacing/>
        <w:jc w:val="both"/>
        <w:rPr>
          <w:sz w:val="26"/>
          <w:szCs w:val="26"/>
        </w:rPr>
      </w:pPr>
      <w:r w:rsidRPr="00E232A6">
        <w:rPr>
          <w:sz w:val="26"/>
          <w:szCs w:val="26"/>
        </w:rPr>
        <w:t>Finalizando, a defesa ressaltou que se tratava de uma situação atípica, ocasionada pelo caos financeiro encontrado no início da gestão, sendo que a administração a todo momento se preocupou em regularizar as pendências financeiras e fiscais.</w:t>
      </w:r>
    </w:p>
    <w:p w:rsidR="0071292F" w:rsidRPr="00E232A6" w:rsidP="00AD3A84" w14:paraId="673DADD0" w14:textId="77777777">
      <w:pPr>
        <w:spacing w:before="240" w:after="240"/>
        <w:contextualSpacing/>
        <w:jc w:val="both"/>
        <w:rPr>
          <w:sz w:val="26"/>
          <w:szCs w:val="26"/>
        </w:rPr>
      </w:pPr>
    </w:p>
    <w:p w:rsidR="00EB7A3F" w:rsidRPr="00E232A6" w:rsidP="00AD3A84" w14:paraId="02BB33B5" w14:textId="3964DDB2">
      <w:pPr>
        <w:spacing w:before="240" w:after="240"/>
        <w:contextualSpacing/>
        <w:jc w:val="both"/>
        <w:rPr>
          <w:sz w:val="26"/>
          <w:szCs w:val="26"/>
        </w:rPr>
      </w:pPr>
      <w:r w:rsidRPr="00E232A6">
        <w:rPr>
          <w:sz w:val="26"/>
          <w:szCs w:val="26"/>
        </w:rPr>
        <w:t>Vale mencionar, para fins de reafirmar que a gestão anterior (2013-2016) deixou um rastro de irregularidades para o novo mandatário, que executando um resgate histórico das última</w:t>
      </w:r>
      <w:r w:rsidRPr="00E232A6" w:rsidR="00331318">
        <w:rPr>
          <w:sz w:val="26"/>
          <w:szCs w:val="26"/>
        </w:rPr>
        <w:t>s</w:t>
      </w:r>
      <w:r w:rsidRPr="00E232A6">
        <w:rPr>
          <w:sz w:val="26"/>
          <w:szCs w:val="26"/>
        </w:rPr>
        <w:t xml:space="preserve"> contas julgadas, observa-se que a prestação de contas dos exercícios de 2.014, 2.015 e 2.016 foram REJEITADAS pelo plenário da Câmara Municipal de Mogi Mirim (Decretos Legislativo </w:t>
      </w:r>
      <w:r w:rsidRPr="00E232A6" w:rsidR="000C0DA8">
        <w:rPr>
          <w:sz w:val="26"/>
          <w:szCs w:val="26"/>
        </w:rPr>
        <w:t>n</w:t>
      </w:r>
      <w:r w:rsidR="001A527C">
        <w:rPr>
          <w:sz w:val="26"/>
          <w:szCs w:val="26"/>
        </w:rPr>
        <w:t>.</w:t>
      </w:r>
      <w:r w:rsidRPr="00E232A6" w:rsidR="000C0DA8">
        <w:rPr>
          <w:sz w:val="26"/>
          <w:szCs w:val="26"/>
        </w:rPr>
        <w:t>ºs</w:t>
      </w:r>
      <w:r w:rsidRPr="00E232A6">
        <w:rPr>
          <w:sz w:val="26"/>
          <w:szCs w:val="26"/>
        </w:rPr>
        <w:t xml:space="preserve"> 281/2017, 304/2018 e 345/2020) demonstrando </w:t>
      </w:r>
      <w:r w:rsidRPr="00E232A6" w:rsidR="00331318">
        <w:rPr>
          <w:sz w:val="26"/>
          <w:szCs w:val="26"/>
        </w:rPr>
        <w:t>o reconhecimento da</w:t>
      </w:r>
      <w:r w:rsidRPr="00E232A6">
        <w:rPr>
          <w:sz w:val="26"/>
          <w:szCs w:val="26"/>
        </w:rPr>
        <w:t xml:space="preserve"> ineficiência </w:t>
      </w:r>
      <w:r w:rsidRPr="00E232A6" w:rsidR="00331318">
        <w:rPr>
          <w:sz w:val="26"/>
          <w:szCs w:val="26"/>
        </w:rPr>
        <w:t>a gestão financeira da administração anterior</w:t>
      </w:r>
      <w:r w:rsidRPr="00E232A6">
        <w:rPr>
          <w:sz w:val="26"/>
          <w:szCs w:val="26"/>
        </w:rPr>
        <w:t xml:space="preserve">. </w:t>
      </w:r>
      <w:r w:rsidRPr="00E232A6" w:rsidR="00331318">
        <w:rPr>
          <w:sz w:val="26"/>
          <w:szCs w:val="26"/>
        </w:rPr>
        <w:t>Nos r</w:t>
      </w:r>
      <w:r w:rsidRPr="00E232A6">
        <w:rPr>
          <w:sz w:val="26"/>
          <w:szCs w:val="26"/>
        </w:rPr>
        <w:t>esta ponderar</w:t>
      </w:r>
      <w:r w:rsidRPr="00E232A6" w:rsidR="00331318">
        <w:rPr>
          <w:sz w:val="26"/>
          <w:szCs w:val="26"/>
        </w:rPr>
        <w:t xml:space="preserve">, </w:t>
      </w:r>
      <w:r w:rsidRPr="00E232A6">
        <w:rPr>
          <w:sz w:val="26"/>
          <w:szCs w:val="26"/>
        </w:rPr>
        <w:t>qu</w:t>
      </w:r>
      <w:r w:rsidRPr="00E232A6" w:rsidR="00331318">
        <w:rPr>
          <w:sz w:val="26"/>
          <w:szCs w:val="26"/>
        </w:rPr>
        <w:t>e</w:t>
      </w:r>
      <w:r w:rsidRPr="00E232A6">
        <w:rPr>
          <w:sz w:val="26"/>
          <w:szCs w:val="26"/>
        </w:rPr>
        <w:t xml:space="preserve"> após 03 anos de irresponsabilidade com o uso do dinheiro público, um ano poderia não ser suficiente para sanar toda questão financeira do município.</w:t>
      </w:r>
    </w:p>
    <w:p w:rsidR="0071292F" w:rsidRPr="00E232A6" w:rsidP="00AD3A84" w14:paraId="2F84D581" w14:textId="77777777">
      <w:pPr>
        <w:spacing w:before="240" w:after="240"/>
        <w:contextualSpacing/>
        <w:jc w:val="both"/>
        <w:rPr>
          <w:sz w:val="26"/>
          <w:szCs w:val="26"/>
        </w:rPr>
      </w:pPr>
    </w:p>
    <w:p w:rsidR="00DE547C" w:rsidRPr="00E232A6" w:rsidP="00AD3A84" w14:paraId="2B85EE74" w14:textId="6CD8650E">
      <w:pPr>
        <w:spacing w:before="240" w:after="240"/>
        <w:contextualSpacing/>
        <w:jc w:val="both"/>
        <w:rPr>
          <w:sz w:val="26"/>
          <w:szCs w:val="26"/>
        </w:rPr>
      </w:pPr>
      <w:r w:rsidRPr="00E232A6">
        <w:rPr>
          <w:sz w:val="26"/>
          <w:szCs w:val="26"/>
        </w:rPr>
        <w:t xml:space="preserve">Após exame de toda situação apresentada, complementando com os esclarecimentos feitos por meio de Sustentação Oral proferido pela Secretaria de Negócios Jurídicos à época (Dra. Adriana Tavares de Oliveira Penha), em 26 de agosto de 2020,  o </w:t>
      </w:r>
      <w:r w:rsidRPr="00E232A6" w:rsidR="00331318">
        <w:rPr>
          <w:sz w:val="26"/>
          <w:szCs w:val="26"/>
        </w:rPr>
        <w:t xml:space="preserve"> </w:t>
      </w:r>
      <w:r w:rsidRPr="00E232A6">
        <w:rPr>
          <w:sz w:val="26"/>
          <w:szCs w:val="26"/>
        </w:rPr>
        <w:t>E</w:t>
      </w:r>
      <w:r w:rsidR="00BC3319">
        <w:rPr>
          <w:sz w:val="26"/>
          <w:szCs w:val="26"/>
        </w:rPr>
        <w:t>gré</w:t>
      </w:r>
      <w:r w:rsidR="006A66DA">
        <w:rPr>
          <w:sz w:val="26"/>
          <w:szCs w:val="26"/>
        </w:rPr>
        <w:t>gio</w:t>
      </w:r>
      <w:r w:rsidRPr="00E232A6">
        <w:rPr>
          <w:sz w:val="26"/>
          <w:szCs w:val="26"/>
        </w:rPr>
        <w:t xml:space="preserve"> Plenário do TCE-SP  </w:t>
      </w:r>
      <w:r w:rsidRPr="00E232A6" w:rsidR="00331318">
        <w:rPr>
          <w:sz w:val="26"/>
          <w:szCs w:val="26"/>
          <w:u w:val="single"/>
        </w:rPr>
        <w:t>CONCORDOU</w:t>
      </w:r>
      <w:r w:rsidRPr="00E232A6" w:rsidR="00331318">
        <w:rPr>
          <w:sz w:val="26"/>
          <w:szCs w:val="26"/>
        </w:rPr>
        <w:t xml:space="preserve"> </w:t>
      </w:r>
      <w:r w:rsidRPr="00E232A6">
        <w:rPr>
          <w:sz w:val="26"/>
          <w:szCs w:val="26"/>
        </w:rPr>
        <w:t xml:space="preserve">com o voto da conselheira Dra. Cristiana de Castro Moraes, decidindo conclusivamente pelo </w:t>
      </w:r>
      <w:r w:rsidRPr="00E232A6" w:rsidR="00331318">
        <w:rPr>
          <w:sz w:val="26"/>
          <w:szCs w:val="26"/>
          <w:u w:val="single"/>
        </w:rPr>
        <w:t>PROVIMENTO</w:t>
      </w:r>
      <w:r w:rsidRPr="00E232A6">
        <w:rPr>
          <w:sz w:val="26"/>
          <w:szCs w:val="26"/>
        </w:rPr>
        <w:t xml:space="preserve"> do pedido de reexame, </w:t>
      </w:r>
      <w:r w:rsidRPr="00E232A6">
        <w:rPr>
          <w:sz w:val="26"/>
          <w:szCs w:val="26"/>
          <w:u w:val="single"/>
        </w:rPr>
        <w:t>ALTERANDO</w:t>
      </w:r>
      <w:r w:rsidRPr="00E232A6">
        <w:rPr>
          <w:sz w:val="26"/>
          <w:szCs w:val="26"/>
        </w:rPr>
        <w:t xml:space="preserve"> parecer pr</w:t>
      </w:r>
      <w:r w:rsidRPr="00E232A6" w:rsidR="00331318">
        <w:rPr>
          <w:sz w:val="26"/>
          <w:szCs w:val="26"/>
        </w:rPr>
        <w:t>évio</w:t>
      </w:r>
      <w:r w:rsidRPr="00E232A6">
        <w:rPr>
          <w:sz w:val="26"/>
          <w:szCs w:val="26"/>
        </w:rPr>
        <w:t xml:space="preserve"> emitido no processo  TC </w:t>
      </w:r>
      <w:r w:rsidRPr="00E232A6" w:rsidR="0098387D">
        <w:rPr>
          <w:sz w:val="26"/>
          <w:szCs w:val="26"/>
        </w:rPr>
        <w:t>6788.989.16-8</w:t>
      </w:r>
      <w:r w:rsidRPr="00E232A6" w:rsidR="0098387D">
        <w:rPr>
          <w:b/>
          <w:bCs/>
          <w:sz w:val="24"/>
          <w:szCs w:val="24"/>
        </w:rPr>
        <w:t>,</w:t>
      </w:r>
      <w:r w:rsidRPr="00E232A6" w:rsidR="0098387D">
        <w:rPr>
          <w:b/>
          <w:bCs/>
          <w:sz w:val="28"/>
          <w:szCs w:val="28"/>
        </w:rPr>
        <w:t xml:space="preserve"> </w:t>
      </w:r>
      <w:r w:rsidRPr="00E232A6">
        <w:rPr>
          <w:sz w:val="26"/>
          <w:szCs w:val="26"/>
          <w:u w:val="single"/>
        </w:rPr>
        <w:t>APROVANDO</w:t>
      </w:r>
      <w:r w:rsidRPr="00E232A6">
        <w:rPr>
          <w:sz w:val="26"/>
          <w:szCs w:val="26"/>
        </w:rPr>
        <w:t xml:space="preserve"> as contas do exercício de 2</w:t>
      </w:r>
      <w:r w:rsidRPr="00E232A6" w:rsidR="0053479A">
        <w:rPr>
          <w:sz w:val="26"/>
          <w:szCs w:val="26"/>
        </w:rPr>
        <w:t>.</w:t>
      </w:r>
      <w:r w:rsidRPr="00E232A6">
        <w:rPr>
          <w:sz w:val="26"/>
          <w:szCs w:val="26"/>
        </w:rPr>
        <w:t>017.</w:t>
      </w:r>
    </w:p>
    <w:p w:rsidR="0071292F" w:rsidRPr="00E232A6" w:rsidP="00AD3A84" w14:paraId="04A6A731" w14:textId="6F25DE5A">
      <w:pPr>
        <w:spacing w:before="240" w:after="240"/>
        <w:contextualSpacing/>
        <w:jc w:val="both"/>
        <w:rPr>
          <w:sz w:val="26"/>
          <w:szCs w:val="26"/>
        </w:rPr>
      </w:pPr>
    </w:p>
    <w:p w:rsidR="00AB6B51" w:rsidRPr="00E232A6" w:rsidP="00AD3A84" w14:paraId="1AD025AC" w14:textId="3E41FE71">
      <w:pPr>
        <w:spacing w:before="240" w:after="240"/>
        <w:contextualSpacing/>
        <w:jc w:val="both"/>
        <w:rPr>
          <w:sz w:val="26"/>
          <w:szCs w:val="26"/>
        </w:rPr>
      </w:pPr>
    </w:p>
    <w:p w:rsidR="00AB6B51" w:rsidRPr="00E232A6" w:rsidP="00AD3A84" w14:paraId="04CB0F6B" w14:textId="7D1B3197">
      <w:pPr>
        <w:spacing w:before="240" w:after="240"/>
        <w:contextualSpacing/>
        <w:jc w:val="both"/>
        <w:rPr>
          <w:sz w:val="26"/>
          <w:szCs w:val="26"/>
        </w:rPr>
      </w:pPr>
    </w:p>
    <w:p w:rsidR="00AB6B51" w:rsidRPr="00E232A6" w:rsidP="00AD3A84" w14:paraId="174A7720" w14:textId="1EC8D77A">
      <w:pPr>
        <w:spacing w:before="240" w:after="240"/>
        <w:contextualSpacing/>
        <w:jc w:val="both"/>
        <w:rPr>
          <w:sz w:val="26"/>
          <w:szCs w:val="26"/>
        </w:rPr>
      </w:pPr>
    </w:p>
    <w:p w:rsidR="00AB6B51" w:rsidRPr="00E232A6" w:rsidP="00AD3A84" w14:paraId="19FF166D" w14:textId="6A0C026D">
      <w:pPr>
        <w:spacing w:before="240" w:after="240"/>
        <w:contextualSpacing/>
        <w:jc w:val="both"/>
        <w:rPr>
          <w:sz w:val="26"/>
          <w:szCs w:val="26"/>
        </w:rPr>
      </w:pPr>
    </w:p>
    <w:p w:rsidR="00EB7A3F" w:rsidRPr="00E232A6" w:rsidP="00AD3A84" w14:paraId="48421DF4" w14:textId="2B479FB5">
      <w:pPr>
        <w:spacing w:before="240" w:after="240"/>
        <w:contextualSpacing/>
        <w:jc w:val="both"/>
        <w:rPr>
          <w:b/>
          <w:bCs/>
          <w:sz w:val="26"/>
          <w:szCs w:val="26"/>
          <w:u w:val="single"/>
        </w:rPr>
      </w:pPr>
      <w:r w:rsidRPr="00E232A6">
        <w:rPr>
          <w:b/>
          <w:bCs/>
          <w:sz w:val="26"/>
          <w:szCs w:val="26"/>
          <w:u w:val="single"/>
        </w:rPr>
        <w:t>Dos itens</w:t>
      </w:r>
      <w:r w:rsidRPr="00E232A6">
        <w:rPr>
          <w:b/>
          <w:bCs/>
          <w:sz w:val="26"/>
          <w:szCs w:val="26"/>
          <w:u w:val="single"/>
        </w:rPr>
        <w:t> </w:t>
      </w:r>
      <w:r w:rsidRPr="00E232A6">
        <w:rPr>
          <w:b/>
          <w:bCs/>
          <w:sz w:val="26"/>
          <w:szCs w:val="26"/>
          <w:u w:val="single"/>
        </w:rPr>
        <w:t>a</w:t>
      </w:r>
      <w:r w:rsidRPr="00E232A6">
        <w:rPr>
          <w:b/>
          <w:bCs/>
          <w:sz w:val="26"/>
          <w:szCs w:val="26"/>
          <w:u w:val="single"/>
        </w:rPr>
        <w:t>nalisados da Prefeitura Municipal de Mogi Mirim</w:t>
      </w:r>
    </w:p>
    <w:p w:rsidR="0071292F" w:rsidRPr="00E232A6" w:rsidP="00AD3A84" w14:paraId="75C6B59F" w14:textId="77777777">
      <w:pPr>
        <w:spacing w:before="240" w:after="240"/>
        <w:contextualSpacing/>
        <w:jc w:val="both"/>
        <w:rPr>
          <w:b/>
          <w:bCs/>
          <w:sz w:val="26"/>
          <w:szCs w:val="26"/>
          <w:u w:val="single"/>
        </w:rPr>
      </w:pPr>
    </w:p>
    <w:tbl>
      <w:tblPr>
        <w:tblStyle w:val="GridTable2"/>
        <w:tblW w:w="9214" w:type="dxa"/>
        <w:tblLook w:val="04A0"/>
      </w:tblPr>
      <w:tblGrid>
        <w:gridCol w:w="4962"/>
        <w:gridCol w:w="4252"/>
      </w:tblGrid>
      <w:tr w14:paraId="02FE686C" w14:textId="77777777" w:rsidTr="00DC1654">
        <w:tblPrEx>
          <w:tblW w:w="9214" w:type="dxa"/>
          <w:tblLook w:val="04A0"/>
        </w:tblPrEx>
        <w:trPr>
          <w:trHeight w:val="283"/>
        </w:trPr>
        <w:tc>
          <w:tcPr>
            <w:tcW w:w="4962" w:type="dxa"/>
          </w:tcPr>
          <w:p w:rsidR="00307D45" w:rsidRPr="00E232A6" w:rsidP="00AD3A84" w14:paraId="0AE7844D" w14:textId="049A0704">
            <w:pPr>
              <w:spacing w:before="240"/>
              <w:contextualSpacing/>
              <w:jc w:val="center"/>
              <w:rPr>
                <w:sz w:val="22"/>
                <w:szCs w:val="22"/>
              </w:rPr>
            </w:pPr>
            <w:r w:rsidRPr="00E232A6">
              <w:rPr>
                <w:sz w:val="22"/>
                <w:szCs w:val="22"/>
              </w:rPr>
              <w:t>ITENS</w:t>
            </w:r>
          </w:p>
        </w:tc>
        <w:tc>
          <w:tcPr>
            <w:tcW w:w="4252" w:type="dxa"/>
          </w:tcPr>
          <w:p w:rsidR="00307D45" w:rsidRPr="00E232A6" w:rsidP="00AD3A84" w14:paraId="6ECB295B" w14:textId="2252D18A">
            <w:pPr>
              <w:ind w:left="-60"/>
              <w:contextualSpacing/>
              <w:jc w:val="center"/>
              <w:rPr>
                <w:sz w:val="22"/>
                <w:szCs w:val="22"/>
              </w:rPr>
            </w:pPr>
            <w:r w:rsidRPr="00E232A6">
              <w:rPr>
                <w:sz w:val="22"/>
                <w:szCs w:val="22"/>
              </w:rPr>
              <w:t>SITUAÇÃO</w:t>
            </w:r>
          </w:p>
        </w:tc>
      </w:tr>
      <w:tr w14:paraId="3615302F" w14:textId="77777777" w:rsidTr="00DC1654">
        <w:tblPrEx>
          <w:tblW w:w="9214" w:type="dxa"/>
          <w:tblLook w:val="04A0"/>
        </w:tblPrEx>
        <w:trPr>
          <w:trHeight w:val="283"/>
        </w:trPr>
        <w:tc>
          <w:tcPr>
            <w:tcW w:w="4962" w:type="dxa"/>
            <w:hideMark/>
          </w:tcPr>
          <w:p w:rsidR="00EB7A3F" w:rsidRPr="00E232A6" w:rsidP="00AD3A84" w14:paraId="2B83F19C" w14:textId="77777777">
            <w:pPr>
              <w:spacing w:before="240"/>
              <w:ind w:left="-100"/>
              <w:contextualSpacing/>
              <w:jc w:val="center"/>
              <w:rPr>
                <w:sz w:val="22"/>
                <w:szCs w:val="22"/>
              </w:rPr>
            </w:pPr>
            <w:r w:rsidRPr="00E232A6">
              <w:rPr>
                <w:sz w:val="22"/>
                <w:szCs w:val="22"/>
              </w:rPr>
              <w:t>Aplicação total no ensino</w:t>
            </w:r>
          </w:p>
        </w:tc>
        <w:tc>
          <w:tcPr>
            <w:tcW w:w="4252" w:type="dxa"/>
            <w:vAlign w:val="bottom"/>
            <w:hideMark/>
          </w:tcPr>
          <w:p w:rsidR="00EB7A3F" w:rsidRPr="00E232A6" w:rsidP="00AD3A84" w14:paraId="7FD8AA96" w14:textId="63E0FFEE">
            <w:pPr>
              <w:ind w:left="-60"/>
              <w:contextualSpacing/>
              <w:jc w:val="center"/>
              <w:rPr>
                <w:sz w:val="22"/>
                <w:szCs w:val="22"/>
              </w:rPr>
            </w:pPr>
            <w:r w:rsidRPr="00E232A6">
              <w:rPr>
                <w:b/>
                <w:bCs/>
                <w:sz w:val="22"/>
                <w:szCs w:val="22"/>
              </w:rPr>
              <w:t>27,01% (mínimo 25%)</w:t>
            </w:r>
          </w:p>
        </w:tc>
      </w:tr>
      <w:tr w14:paraId="33F02937" w14:textId="77777777" w:rsidTr="00DC1654">
        <w:tblPrEx>
          <w:tblW w:w="9214" w:type="dxa"/>
          <w:tblLook w:val="04A0"/>
        </w:tblPrEx>
        <w:trPr>
          <w:trHeight w:val="283"/>
        </w:trPr>
        <w:tc>
          <w:tcPr>
            <w:tcW w:w="4962" w:type="dxa"/>
            <w:hideMark/>
          </w:tcPr>
          <w:p w:rsidR="00EB7A3F" w:rsidRPr="00E232A6" w:rsidP="00AD3A84" w14:paraId="65E63FEE" w14:textId="77777777">
            <w:pPr>
              <w:spacing w:before="240"/>
              <w:ind w:left="-100"/>
              <w:contextualSpacing/>
              <w:jc w:val="center"/>
              <w:rPr>
                <w:sz w:val="22"/>
                <w:szCs w:val="22"/>
              </w:rPr>
            </w:pPr>
            <w:r w:rsidRPr="00E232A6">
              <w:rPr>
                <w:sz w:val="22"/>
                <w:szCs w:val="22"/>
              </w:rPr>
              <w:t>Investimento no magistério – verba do FUNDEB</w:t>
            </w:r>
          </w:p>
        </w:tc>
        <w:tc>
          <w:tcPr>
            <w:tcW w:w="4252" w:type="dxa"/>
            <w:vAlign w:val="bottom"/>
            <w:hideMark/>
          </w:tcPr>
          <w:p w:rsidR="00EB7A3F" w:rsidRPr="00E232A6" w:rsidP="00AD3A84" w14:paraId="4D2F8AE4" w14:textId="7CBC32C8">
            <w:pPr>
              <w:ind w:left="-60"/>
              <w:contextualSpacing/>
              <w:jc w:val="center"/>
              <w:rPr>
                <w:sz w:val="22"/>
                <w:szCs w:val="22"/>
              </w:rPr>
            </w:pPr>
            <w:r w:rsidRPr="00E232A6">
              <w:rPr>
                <w:b/>
                <w:bCs/>
                <w:sz w:val="22"/>
                <w:szCs w:val="22"/>
              </w:rPr>
              <w:t>100,00% (mínimo 60%)</w:t>
            </w:r>
          </w:p>
        </w:tc>
      </w:tr>
      <w:tr w14:paraId="4B273BD5" w14:textId="77777777" w:rsidTr="00DC1654">
        <w:tblPrEx>
          <w:tblW w:w="9214" w:type="dxa"/>
          <w:tblLook w:val="04A0"/>
        </w:tblPrEx>
        <w:trPr>
          <w:trHeight w:val="283"/>
        </w:trPr>
        <w:tc>
          <w:tcPr>
            <w:tcW w:w="4962" w:type="dxa"/>
            <w:hideMark/>
          </w:tcPr>
          <w:p w:rsidR="00EB7A3F" w:rsidRPr="00E232A6" w:rsidP="00AD3A84" w14:paraId="1F69FB66" w14:textId="77777777">
            <w:pPr>
              <w:spacing w:before="240"/>
              <w:ind w:left="-100"/>
              <w:contextualSpacing/>
              <w:jc w:val="center"/>
              <w:rPr>
                <w:sz w:val="22"/>
                <w:szCs w:val="22"/>
              </w:rPr>
            </w:pPr>
            <w:r w:rsidRPr="00E232A6">
              <w:rPr>
                <w:sz w:val="22"/>
                <w:szCs w:val="22"/>
              </w:rPr>
              <w:t>Total de despesas com FUNDEB</w:t>
            </w:r>
          </w:p>
        </w:tc>
        <w:tc>
          <w:tcPr>
            <w:tcW w:w="4252" w:type="dxa"/>
            <w:vAlign w:val="bottom"/>
            <w:hideMark/>
          </w:tcPr>
          <w:p w:rsidR="00EB7A3F" w:rsidRPr="00E232A6" w:rsidP="00AD3A84" w14:paraId="3FDE386B" w14:textId="08C5C991">
            <w:pPr>
              <w:spacing w:before="240"/>
              <w:ind w:left="-100"/>
              <w:contextualSpacing/>
              <w:jc w:val="center"/>
              <w:rPr>
                <w:sz w:val="22"/>
                <w:szCs w:val="22"/>
              </w:rPr>
            </w:pPr>
            <w:r w:rsidRPr="00E232A6">
              <w:rPr>
                <w:b/>
                <w:bCs/>
                <w:sz w:val="22"/>
                <w:szCs w:val="22"/>
              </w:rPr>
              <w:t>100,00%</w:t>
            </w:r>
          </w:p>
        </w:tc>
      </w:tr>
      <w:tr w14:paraId="114A4433" w14:textId="77777777" w:rsidTr="00DC1654">
        <w:tblPrEx>
          <w:tblW w:w="9214" w:type="dxa"/>
          <w:tblLook w:val="04A0"/>
        </w:tblPrEx>
        <w:trPr>
          <w:trHeight w:val="283"/>
        </w:trPr>
        <w:tc>
          <w:tcPr>
            <w:tcW w:w="4962" w:type="dxa"/>
            <w:hideMark/>
          </w:tcPr>
          <w:p w:rsidR="00EB7A3F" w:rsidRPr="00E232A6" w:rsidP="00AD3A84" w14:paraId="3B2F47DA" w14:textId="77777777">
            <w:pPr>
              <w:spacing w:before="240"/>
              <w:ind w:left="-100"/>
              <w:contextualSpacing/>
              <w:jc w:val="center"/>
              <w:rPr>
                <w:sz w:val="22"/>
                <w:szCs w:val="22"/>
              </w:rPr>
            </w:pPr>
            <w:r w:rsidRPr="00E232A6">
              <w:rPr>
                <w:sz w:val="22"/>
                <w:szCs w:val="22"/>
              </w:rPr>
              <w:t>Investimento total na saúde</w:t>
            </w:r>
          </w:p>
        </w:tc>
        <w:tc>
          <w:tcPr>
            <w:tcW w:w="4252" w:type="dxa"/>
            <w:vAlign w:val="bottom"/>
            <w:hideMark/>
          </w:tcPr>
          <w:p w:rsidR="00EB7A3F" w:rsidRPr="00E232A6" w:rsidP="00AD3A84" w14:paraId="1FE43822" w14:textId="26D27A46">
            <w:pPr>
              <w:ind w:left="-60"/>
              <w:contextualSpacing/>
              <w:jc w:val="center"/>
              <w:rPr>
                <w:sz w:val="22"/>
                <w:szCs w:val="22"/>
              </w:rPr>
            </w:pPr>
            <w:r w:rsidRPr="00E232A6">
              <w:rPr>
                <w:b/>
                <w:bCs/>
                <w:sz w:val="22"/>
                <w:szCs w:val="22"/>
              </w:rPr>
              <w:t>28,88% (mínimo 15%)</w:t>
            </w:r>
          </w:p>
        </w:tc>
      </w:tr>
      <w:tr w14:paraId="2120E657" w14:textId="77777777" w:rsidTr="00DC1654">
        <w:tblPrEx>
          <w:tblW w:w="9214" w:type="dxa"/>
          <w:tblLook w:val="04A0"/>
        </w:tblPrEx>
        <w:trPr>
          <w:trHeight w:val="283"/>
        </w:trPr>
        <w:tc>
          <w:tcPr>
            <w:tcW w:w="4962" w:type="dxa"/>
            <w:hideMark/>
          </w:tcPr>
          <w:p w:rsidR="00EB7A3F" w:rsidRPr="00E232A6" w:rsidP="00AD3A84" w14:paraId="692715D1" w14:textId="77777777">
            <w:pPr>
              <w:spacing w:before="240"/>
              <w:ind w:left="-100"/>
              <w:contextualSpacing/>
              <w:jc w:val="center"/>
              <w:rPr>
                <w:sz w:val="22"/>
                <w:szCs w:val="22"/>
              </w:rPr>
            </w:pPr>
            <w:r w:rsidRPr="00E232A6">
              <w:rPr>
                <w:sz w:val="22"/>
                <w:szCs w:val="22"/>
              </w:rPr>
              <w:t>Transferências à Câmara</w:t>
            </w:r>
          </w:p>
        </w:tc>
        <w:tc>
          <w:tcPr>
            <w:tcW w:w="4252" w:type="dxa"/>
            <w:vAlign w:val="bottom"/>
            <w:hideMark/>
          </w:tcPr>
          <w:p w:rsidR="00EB7A3F" w:rsidRPr="00E232A6" w:rsidP="00AD3A84" w14:paraId="1B7CE319" w14:textId="73A9848D">
            <w:pPr>
              <w:ind w:left="-60"/>
              <w:contextualSpacing/>
              <w:jc w:val="center"/>
              <w:rPr>
                <w:sz w:val="22"/>
                <w:szCs w:val="22"/>
              </w:rPr>
            </w:pPr>
            <w:r w:rsidRPr="00E232A6">
              <w:rPr>
                <w:b/>
                <w:bCs/>
                <w:sz w:val="22"/>
                <w:szCs w:val="22"/>
              </w:rPr>
              <w:t>2,67% (limite 7%)</w:t>
            </w:r>
          </w:p>
        </w:tc>
      </w:tr>
      <w:tr w14:paraId="59550AAC" w14:textId="77777777" w:rsidTr="00DC1654">
        <w:tblPrEx>
          <w:tblW w:w="9214" w:type="dxa"/>
          <w:tblLook w:val="04A0"/>
        </w:tblPrEx>
        <w:trPr>
          <w:trHeight w:val="283"/>
        </w:trPr>
        <w:tc>
          <w:tcPr>
            <w:tcW w:w="4962" w:type="dxa"/>
            <w:hideMark/>
          </w:tcPr>
          <w:p w:rsidR="00EB7A3F" w:rsidRPr="00E232A6" w:rsidP="00AD3A84" w14:paraId="06314A30" w14:textId="77777777">
            <w:pPr>
              <w:spacing w:before="240"/>
              <w:ind w:left="-100"/>
              <w:contextualSpacing/>
              <w:jc w:val="center"/>
              <w:rPr>
                <w:sz w:val="22"/>
                <w:szCs w:val="22"/>
              </w:rPr>
            </w:pPr>
            <w:r w:rsidRPr="00E232A6">
              <w:rPr>
                <w:sz w:val="22"/>
                <w:szCs w:val="22"/>
              </w:rPr>
              <w:t>Gastos com pessoal</w:t>
            </w:r>
          </w:p>
        </w:tc>
        <w:tc>
          <w:tcPr>
            <w:tcW w:w="4252" w:type="dxa"/>
            <w:vAlign w:val="bottom"/>
            <w:hideMark/>
          </w:tcPr>
          <w:p w:rsidR="00EB7A3F" w:rsidRPr="00E232A6" w:rsidP="00AD3A84" w14:paraId="2BF7B7DB" w14:textId="494F0D1C">
            <w:pPr>
              <w:ind w:left="-60"/>
              <w:contextualSpacing/>
              <w:jc w:val="center"/>
              <w:rPr>
                <w:sz w:val="22"/>
                <w:szCs w:val="22"/>
              </w:rPr>
            </w:pPr>
            <w:r w:rsidRPr="00E232A6">
              <w:rPr>
                <w:b/>
                <w:bCs/>
                <w:sz w:val="22"/>
                <w:szCs w:val="22"/>
              </w:rPr>
              <w:t>52,09% (máximo 54%)</w:t>
            </w:r>
          </w:p>
        </w:tc>
      </w:tr>
      <w:tr w14:paraId="449CC092" w14:textId="77777777" w:rsidTr="00DC1654">
        <w:tblPrEx>
          <w:tblW w:w="9214" w:type="dxa"/>
          <w:tblLook w:val="04A0"/>
        </w:tblPrEx>
        <w:trPr>
          <w:trHeight w:val="283"/>
        </w:trPr>
        <w:tc>
          <w:tcPr>
            <w:tcW w:w="4962" w:type="dxa"/>
            <w:hideMark/>
          </w:tcPr>
          <w:p w:rsidR="00EB7A3F" w:rsidRPr="00E232A6" w:rsidP="00AD3A84" w14:paraId="2E875894" w14:textId="77777777">
            <w:pPr>
              <w:spacing w:before="240"/>
              <w:ind w:left="-100"/>
              <w:contextualSpacing/>
              <w:jc w:val="center"/>
              <w:rPr>
                <w:sz w:val="22"/>
                <w:szCs w:val="22"/>
              </w:rPr>
            </w:pPr>
            <w:r w:rsidRPr="00E232A6">
              <w:rPr>
                <w:sz w:val="22"/>
                <w:szCs w:val="22"/>
              </w:rPr>
              <w:t>Remuneração agentes políticos</w:t>
            </w:r>
          </w:p>
        </w:tc>
        <w:tc>
          <w:tcPr>
            <w:tcW w:w="4252" w:type="dxa"/>
            <w:vAlign w:val="bottom"/>
            <w:hideMark/>
          </w:tcPr>
          <w:p w:rsidR="00EB7A3F" w:rsidRPr="00E232A6" w:rsidP="00AD3A84" w14:paraId="195DF56B" w14:textId="77777777">
            <w:pPr>
              <w:ind w:left="-60"/>
              <w:contextualSpacing/>
              <w:jc w:val="center"/>
              <w:rPr>
                <w:sz w:val="22"/>
                <w:szCs w:val="22"/>
              </w:rPr>
            </w:pPr>
            <w:r w:rsidRPr="00E232A6">
              <w:rPr>
                <w:b/>
                <w:bCs/>
                <w:sz w:val="22"/>
                <w:szCs w:val="22"/>
              </w:rPr>
              <w:t>Relevado – mediante comprovação</w:t>
            </w:r>
          </w:p>
        </w:tc>
      </w:tr>
      <w:tr w14:paraId="6B56EF0E" w14:textId="77777777" w:rsidTr="00DC1654">
        <w:tblPrEx>
          <w:tblW w:w="9214" w:type="dxa"/>
          <w:tblLook w:val="04A0"/>
        </w:tblPrEx>
        <w:trPr>
          <w:trHeight w:val="283"/>
        </w:trPr>
        <w:tc>
          <w:tcPr>
            <w:tcW w:w="4962" w:type="dxa"/>
            <w:hideMark/>
          </w:tcPr>
          <w:p w:rsidR="00EB7A3F" w:rsidRPr="00E232A6" w:rsidP="00AD3A84" w14:paraId="4C946B71" w14:textId="77777777">
            <w:pPr>
              <w:spacing w:before="240"/>
              <w:ind w:left="-100"/>
              <w:contextualSpacing/>
              <w:jc w:val="center"/>
              <w:rPr>
                <w:sz w:val="22"/>
                <w:szCs w:val="22"/>
              </w:rPr>
            </w:pPr>
            <w:r w:rsidRPr="00E232A6">
              <w:rPr>
                <w:sz w:val="22"/>
                <w:szCs w:val="22"/>
              </w:rPr>
              <w:t>Encargos sociais</w:t>
            </w:r>
          </w:p>
        </w:tc>
        <w:tc>
          <w:tcPr>
            <w:tcW w:w="4252" w:type="dxa"/>
            <w:vAlign w:val="bottom"/>
            <w:hideMark/>
          </w:tcPr>
          <w:p w:rsidR="00EB7A3F" w:rsidRPr="00E232A6" w:rsidP="00AD3A84" w14:paraId="74EAB60C" w14:textId="77777777">
            <w:pPr>
              <w:ind w:left="-60"/>
              <w:contextualSpacing/>
              <w:jc w:val="center"/>
              <w:rPr>
                <w:sz w:val="22"/>
                <w:szCs w:val="22"/>
              </w:rPr>
            </w:pPr>
            <w:r w:rsidRPr="00E232A6">
              <w:rPr>
                <w:b/>
                <w:bCs/>
                <w:sz w:val="22"/>
                <w:szCs w:val="22"/>
              </w:rPr>
              <w:t>Irregular / Relevado</w:t>
            </w:r>
          </w:p>
        </w:tc>
      </w:tr>
      <w:tr w14:paraId="1EFC6658" w14:textId="77777777" w:rsidTr="00DC1654">
        <w:tblPrEx>
          <w:tblW w:w="9214" w:type="dxa"/>
          <w:tblLook w:val="04A0"/>
        </w:tblPrEx>
        <w:trPr>
          <w:trHeight w:val="283"/>
        </w:trPr>
        <w:tc>
          <w:tcPr>
            <w:tcW w:w="4962" w:type="dxa"/>
            <w:hideMark/>
          </w:tcPr>
          <w:p w:rsidR="00EB7A3F" w:rsidRPr="00E232A6" w:rsidP="00AD3A84" w14:paraId="011DE04E" w14:textId="77777777">
            <w:pPr>
              <w:spacing w:before="240"/>
              <w:ind w:left="-100"/>
              <w:contextualSpacing/>
              <w:jc w:val="center"/>
              <w:rPr>
                <w:sz w:val="22"/>
                <w:szCs w:val="22"/>
              </w:rPr>
            </w:pPr>
            <w:r w:rsidRPr="00E232A6">
              <w:rPr>
                <w:sz w:val="22"/>
                <w:szCs w:val="22"/>
              </w:rPr>
              <w:t>Precatórios</w:t>
            </w:r>
          </w:p>
        </w:tc>
        <w:tc>
          <w:tcPr>
            <w:tcW w:w="4252" w:type="dxa"/>
            <w:vAlign w:val="bottom"/>
            <w:hideMark/>
          </w:tcPr>
          <w:p w:rsidR="00EB7A3F" w:rsidRPr="00E232A6" w:rsidP="00AD3A84" w14:paraId="7232B952" w14:textId="77777777">
            <w:pPr>
              <w:ind w:left="-60"/>
              <w:contextualSpacing/>
              <w:jc w:val="center"/>
              <w:rPr>
                <w:sz w:val="22"/>
                <w:szCs w:val="22"/>
              </w:rPr>
            </w:pPr>
            <w:r w:rsidRPr="00E232A6">
              <w:rPr>
                <w:b/>
                <w:bCs/>
                <w:sz w:val="22"/>
                <w:szCs w:val="22"/>
              </w:rPr>
              <w:t>Regular</w:t>
            </w:r>
          </w:p>
        </w:tc>
      </w:tr>
      <w:tr w14:paraId="60F4C703" w14:textId="77777777" w:rsidTr="00DC1654">
        <w:tblPrEx>
          <w:tblW w:w="9214" w:type="dxa"/>
          <w:tblLook w:val="04A0"/>
        </w:tblPrEx>
        <w:trPr>
          <w:trHeight w:val="283"/>
        </w:trPr>
        <w:tc>
          <w:tcPr>
            <w:tcW w:w="4962" w:type="dxa"/>
            <w:hideMark/>
          </w:tcPr>
          <w:p w:rsidR="00EB7A3F" w:rsidRPr="00E232A6" w:rsidP="00AD3A84" w14:paraId="53EEFE08" w14:textId="77777777">
            <w:pPr>
              <w:spacing w:before="240"/>
              <w:ind w:left="-100"/>
              <w:contextualSpacing/>
              <w:jc w:val="center"/>
              <w:rPr>
                <w:sz w:val="22"/>
                <w:szCs w:val="22"/>
              </w:rPr>
            </w:pPr>
            <w:r w:rsidRPr="00E232A6">
              <w:rPr>
                <w:sz w:val="22"/>
                <w:szCs w:val="22"/>
              </w:rPr>
              <w:t>Resultado da execução orçamentária</w:t>
            </w:r>
          </w:p>
        </w:tc>
        <w:tc>
          <w:tcPr>
            <w:tcW w:w="4252" w:type="dxa"/>
            <w:vAlign w:val="bottom"/>
            <w:hideMark/>
          </w:tcPr>
          <w:p w:rsidR="00EB7A3F" w:rsidRPr="00E232A6" w:rsidP="00AD3A84" w14:paraId="12945E5D" w14:textId="21E8E103">
            <w:pPr>
              <w:ind w:left="-60"/>
              <w:contextualSpacing/>
              <w:jc w:val="center"/>
              <w:rPr>
                <w:sz w:val="22"/>
                <w:szCs w:val="22"/>
              </w:rPr>
            </w:pPr>
            <w:r w:rsidRPr="00E232A6">
              <w:rPr>
                <w:b/>
                <w:bCs/>
                <w:sz w:val="22"/>
                <w:szCs w:val="22"/>
              </w:rPr>
              <w:t xml:space="preserve">Superávit 0,15% - R$ 454.291,55 </w:t>
            </w:r>
            <w:r w:rsidR="00E55452">
              <w:rPr>
                <w:b/>
                <w:bCs/>
                <w:sz w:val="22"/>
                <w:szCs w:val="22"/>
              </w:rPr>
              <w:t>–</w:t>
            </w:r>
            <w:r w:rsidRPr="00E232A6">
              <w:rPr>
                <w:b/>
                <w:bCs/>
                <w:sz w:val="22"/>
                <w:szCs w:val="22"/>
              </w:rPr>
              <w:t xml:space="preserve"> ATJ</w:t>
            </w:r>
            <w:r w:rsidR="00E55452">
              <w:rPr>
                <w:b/>
                <w:bCs/>
                <w:sz w:val="22"/>
                <w:szCs w:val="22"/>
              </w:rPr>
              <w:t>*</w:t>
            </w:r>
          </w:p>
        </w:tc>
      </w:tr>
      <w:tr w14:paraId="1B791BD4" w14:textId="77777777" w:rsidTr="00DC1654">
        <w:tblPrEx>
          <w:tblW w:w="9214" w:type="dxa"/>
          <w:tblLook w:val="04A0"/>
        </w:tblPrEx>
        <w:trPr>
          <w:trHeight w:val="283"/>
        </w:trPr>
        <w:tc>
          <w:tcPr>
            <w:tcW w:w="4962" w:type="dxa"/>
            <w:hideMark/>
          </w:tcPr>
          <w:p w:rsidR="00EB7A3F" w:rsidRPr="00E232A6" w:rsidP="00AD3A84" w14:paraId="2983A4E5" w14:textId="77777777">
            <w:pPr>
              <w:spacing w:before="240"/>
              <w:ind w:left="-100"/>
              <w:contextualSpacing/>
              <w:jc w:val="center"/>
              <w:rPr>
                <w:sz w:val="22"/>
                <w:szCs w:val="22"/>
              </w:rPr>
            </w:pPr>
            <w:r w:rsidRPr="00E232A6">
              <w:rPr>
                <w:sz w:val="22"/>
                <w:szCs w:val="22"/>
              </w:rPr>
              <w:t>Resultado financeiro</w:t>
            </w:r>
          </w:p>
        </w:tc>
        <w:tc>
          <w:tcPr>
            <w:tcW w:w="4252" w:type="dxa"/>
            <w:vAlign w:val="bottom"/>
            <w:hideMark/>
          </w:tcPr>
          <w:p w:rsidR="00EB7A3F" w:rsidRPr="00E232A6" w:rsidP="00AD3A84" w14:paraId="3A59A0C3" w14:textId="77777777">
            <w:pPr>
              <w:ind w:left="-60"/>
              <w:contextualSpacing/>
              <w:jc w:val="center"/>
              <w:rPr>
                <w:sz w:val="22"/>
                <w:szCs w:val="22"/>
              </w:rPr>
            </w:pPr>
            <w:r w:rsidRPr="00E232A6">
              <w:rPr>
                <w:b/>
                <w:bCs/>
                <w:sz w:val="22"/>
                <w:szCs w:val="22"/>
              </w:rPr>
              <w:t>Positivo R$ 1.986.556,34</w:t>
            </w:r>
          </w:p>
        </w:tc>
      </w:tr>
    </w:tbl>
    <w:p w:rsidR="0071292F" w:rsidRPr="00E55452" w:rsidP="00F775FD" w14:paraId="68333A01" w14:textId="682BDDB4">
      <w:pPr>
        <w:rPr>
          <w:sz w:val="24"/>
          <w:szCs w:val="24"/>
        </w:rPr>
      </w:pPr>
      <w:r>
        <w:rPr>
          <w:sz w:val="24"/>
          <w:szCs w:val="24"/>
        </w:rPr>
        <w:t>*</w:t>
      </w:r>
      <w:r w:rsidRPr="00E55452" w:rsidR="00F775FD">
        <w:rPr>
          <w:sz w:val="24"/>
          <w:szCs w:val="24"/>
        </w:rPr>
        <w:t xml:space="preserve">ATJ </w:t>
      </w:r>
      <w:r w:rsidRPr="00E55452">
        <w:rPr>
          <w:sz w:val="24"/>
          <w:szCs w:val="24"/>
        </w:rPr>
        <w:t>–</w:t>
      </w:r>
      <w:r w:rsidRPr="00E55452" w:rsidR="00F775FD">
        <w:rPr>
          <w:sz w:val="24"/>
          <w:szCs w:val="24"/>
        </w:rPr>
        <w:t xml:space="preserve"> Ass</w:t>
      </w:r>
      <w:r w:rsidRPr="00E55452">
        <w:rPr>
          <w:sz w:val="24"/>
          <w:szCs w:val="24"/>
        </w:rPr>
        <w:t>essoria Técnico-Jurídica – TCE</w:t>
      </w:r>
    </w:p>
    <w:p w:rsidR="00E55452" w:rsidRPr="00F775FD" w:rsidP="00F775FD" w14:paraId="5285FD40" w14:textId="77777777">
      <w:pPr>
        <w:rPr>
          <w:sz w:val="26"/>
          <w:szCs w:val="26"/>
        </w:rPr>
      </w:pPr>
    </w:p>
    <w:p w:rsidR="00EB7A3F" w:rsidRPr="00E232A6" w:rsidP="00AD3A84" w14:paraId="3655A4D7" w14:textId="6FF1DD9E">
      <w:pPr>
        <w:pStyle w:val="ListParagraph"/>
        <w:numPr>
          <w:ilvl w:val="0"/>
          <w:numId w:val="29"/>
        </w:numPr>
        <w:rPr>
          <w:b/>
          <w:bCs/>
          <w:sz w:val="26"/>
          <w:szCs w:val="26"/>
        </w:rPr>
      </w:pPr>
      <w:r w:rsidRPr="00E232A6">
        <w:rPr>
          <w:b/>
          <w:bCs/>
          <w:sz w:val="26"/>
          <w:szCs w:val="26"/>
        </w:rPr>
        <w:t>Aplicação total do ensino </w:t>
      </w:r>
    </w:p>
    <w:p w:rsidR="00EB7A3F" w:rsidRPr="00E232A6" w:rsidP="00AD3A84" w14:paraId="0EA19B28" w14:textId="0AF02F35">
      <w:pPr>
        <w:spacing w:before="240" w:after="240"/>
        <w:ind w:left="720"/>
        <w:contextualSpacing/>
        <w:jc w:val="both"/>
        <w:rPr>
          <w:sz w:val="26"/>
          <w:szCs w:val="26"/>
        </w:rPr>
      </w:pPr>
      <w:r w:rsidRPr="00E232A6">
        <w:rPr>
          <w:sz w:val="26"/>
          <w:szCs w:val="26"/>
        </w:rPr>
        <w:t>A Prefeitura Municipal de Mogi Mirim, através da Secretaria Municipal de Educação obteve, em avaliação do Tribunal de Contas, um resultado de 27% de aplicação total do ensino, portanto acima do mínimo desejável, assegurado através da Constituição Federal de 88, Artigo nº 212, que é de 25%.</w:t>
      </w:r>
    </w:p>
    <w:p w:rsidR="007A4D83" w:rsidRPr="00E232A6" w:rsidP="008634BD" w14:paraId="4D065578" w14:textId="77777777">
      <w:pPr>
        <w:spacing w:before="240" w:after="240"/>
        <w:contextualSpacing/>
        <w:jc w:val="both"/>
        <w:rPr>
          <w:sz w:val="26"/>
          <w:szCs w:val="26"/>
        </w:rPr>
      </w:pPr>
    </w:p>
    <w:p w:rsidR="00EB7A3F" w:rsidRPr="00E232A6" w:rsidP="00AD3A84" w14:paraId="2C35F1A1" w14:textId="77777777">
      <w:pPr>
        <w:numPr>
          <w:ilvl w:val="0"/>
          <w:numId w:val="6"/>
        </w:numPr>
        <w:spacing w:before="240" w:after="240"/>
        <w:contextualSpacing/>
        <w:jc w:val="both"/>
        <w:textAlignment w:val="baseline"/>
        <w:rPr>
          <w:b/>
          <w:bCs/>
          <w:sz w:val="26"/>
          <w:szCs w:val="26"/>
        </w:rPr>
      </w:pPr>
      <w:r w:rsidRPr="00E232A6">
        <w:rPr>
          <w:b/>
          <w:bCs/>
          <w:sz w:val="26"/>
          <w:szCs w:val="26"/>
        </w:rPr>
        <w:t>Investimento no magistério </w:t>
      </w:r>
    </w:p>
    <w:p w:rsidR="00EB7A3F" w:rsidRPr="00E232A6" w:rsidP="00AD3A84" w14:paraId="2C836C21" w14:textId="7A4E695D">
      <w:pPr>
        <w:spacing w:before="240" w:after="240"/>
        <w:ind w:left="720"/>
        <w:contextualSpacing/>
        <w:jc w:val="both"/>
        <w:rPr>
          <w:sz w:val="26"/>
          <w:szCs w:val="26"/>
        </w:rPr>
      </w:pPr>
      <w:r w:rsidRPr="00E232A6">
        <w:rPr>
          <w:sz w:val="26"/>
          <w:szCs w:val="26"/>
        </w:rPr>
        <w:t>Com relação ao investimento no magistério - verbas do FUNDEB, a Prefeitura Municipal de Mogi Mirim obteve, em avaliação do Tribunal de Contas, um resultado de 100% de aplicação, portanto acima do mínimo desejável, assegurado através da Constituição Federal de 88, Artigo 211, que é de 60%.</w:t>
      </w:r>
    </w:p>
    <w:p w:rsidR="0071292F" w:rsidRPr="00E232A6" w:rsidP="00AD3A84" w14:paraId="2D2D10F1" w14:textId="77777777">
      <w:pPr>
        <w:spacing w:before="240" w:after="240"/>
        <w:ind w:left="720"/>
        <w:contextualSpacing/>
        <w:jc w:val="both"/>
        <w:rPr>
          <w:sz w:val="26"/>
          <w:szCs w:val="26"/>
        </w:rPr>
      </w:pPr>
    </w:p>
    <w:p w:rsidR="00EB7A3F" w:rsidRPr="00E232A6" w:rsidP="00AD3A84" w14:paraId="21D6AB85" w14:textId="77777777">
      <w:pPr>
        <w:numPr>
          <w:ilvl w:val="0"/>
          <w:numId w:val="7"/>
        </w:numPr>
        <w:spacing w:before="240" w:after="240"/>
        <w:contextualSpacing/>
        <w:jc w:val="both"/>
        <w:textAlignment w:val="baseline"/>
        <w:rPr>
          <w:b/>
          <w:bCs/>
          <w:sz w:val="26"/>
          <w:szCs w:val="26"/>
        </w:rPr>
      </w:pPr>
      <w:r w:rsidRPr="00E232A6">
        <w:rPr>
          <w:b/>
          <w:bCs/>
          <w:sz w:val="26"/>
          <w:szCs w:val="26"/>
        </w:rPr>
        <w:t>Total de despesas com o FUNDEB</w:t>
      </w:r>
    </w:p>
    <w:p w:rsidR="00EB7A3F" w:rsidRPr="00E232A6" w:rsidP="00AD3A84" w14:paraId="437EC6A3" w14:textId="34EFC6A4">
      <w:pPr>
        <w:spacing w:before="240" w:after="240"/>
        <w:ind w:left="720"/>
        <w:contextualSpacing/>
        <w:jc w:val="both"/>
        <w:rPr>
          <w:sz w:val="26"/>
          <w:szCs w:val="26"/>
        </w:rPr>
      </w:pPr>
      <w:r w:rsidRPr="00E232A6">
        <w:rPr>
          <w:sz w:val="26"/>
          <w:szCs w:val="26"/>
        </w:rPr>
        <w:t>O Tribunal de Contas demonstrou em relatório que o resultado da análise do total de despesas com o FUNDEB da Prefeitura Municipal de Mogi Mirim é acima da média com aplicação de 100%, conforme Lei nº 11.494/2007.</w:t>
      </w:r>
    </w:p>
    <w:p w:rsidR="0071292F" w:rsidRPr="00E232A6" w:rsidP="00AD3A84" w14:paraId="6DA45A4A" w14:textId="77777777">
      <w:pPr>
        <w:spacing w:before="240" w:after="240"/>
        <w:ind w:left="720"/>
        <w:contextualSpacing/>
        <w:jc w:val="both"/>
        <w:rPr>
          <w:sz w:val="26"/>
          <w:szCs w:val="26"/>
        </w:rPr>
      </w:pPr>
    </w:p>
    <w:p w:rsidR="00EB7A3F" w:rsidRPr="00E232A6" w:rsidP="00AD3A84" w14:paraId="71973354" w14:textId="77777777">
      <w:pPr>
        <w:numPr>
          <w:ilvl w:val="0"/>
          <w:numId w:val="8"/>
        </w:numPr>
        <w:spacing w:before="240" w:after="240"/>
        <w:contextualSpacing/>
        <w:jc w:val="both"/>
        <w:textAlignment w:val="baseline"/>
        <w:rPr>
          <w:b/>
          <w:bCs/>
          <w:sz w:val="26"/>
          <w:szCs w:val="26"/>
        </w:rPr>
      </w:pPr>
      <w:r w:rsidRPr="00E232A6">
        <w:rPr>
          <w:b/>
          <w:bCs/>
          <w:sz w:val="26"/>
          <w:szCs w:val="26"/>
        </w:rPr>
        <w:t>Investimento total na saúde</w:t>
      </w:r>
    </w:p>
    <w:p w:rsidR="00EB7A3F" w:rsidRPr="00E232A6" w:rsidP="00AD3A84" w14:paraId="50990EBB" w14:textId="24AF8FAC">
      <w:pPr>
        <w:spacing w:before="240" w:after="240"/>
        <w:ind w:left="720"/>
        <w:contextualSpacing/>
        <w:jc w:val="both"/>
        <w:rPr>
          <w:sz w:val="26"/>
          <w:szCs w:val="26"/>
        </w:rPr>
      </w:pPr>
      <w:r w:rsidRPr="00E232A6">
        <w:rPr>
          <w:sz w:val="26"/>
          <w:szCs w:val="26"/>
        </w:rPr>
        <w:t>Os investimentos na saúde de Mogi Mirim obtiveram, em avaliação do Tribunal de Contas, um resultado de 28,88% de aplicação, sendo o mínimo desejável, assegurado através da Lei Complementar nº 141/2012 de 15%.</w:t>
      </w:r>
    </w:p>
    <w:p w:rsidR="0071292F" w:rsidRPr="00E232A6" w:rsidP="00AD3A84" w14:paraId="7E277ABE" w14:textId="77777777">
      <w:pPr>
        <w:spacing w:before="240" w:after="240"/>
        <w:ind w:left="720"/>
        <w:contextualSpacing/>
        <w:jc w:val="both"/>
        <w:rPr>
          <w:sz w:val="26"/>
          <w:szCs w:val="26"/>
        </w:rPr>
      </w:pPr>
    </w:p>
    <w:p w:rsidR="00EB7A3F" w:rsidRPr="00E232A6" w:rsidP="00AD3A84" w14:paraId="1AD70775" w14:textId="77777777">
      <w:pPr>
        <w:numPr>
          <w:ilvl w:val="0"/>
          <w:numId w:val="9"/>
        </w:numPr>
        <w:spacing w:before="240" w:after="240"/>
        <w:contextualSpacing/>
        <w:jc w:val="both"/>
        <w:textAlignment w:val="baseline"/>
        <w:rPr>
          <w:b/>
          <w:bCs/>
          <w:sz w:val="26"/>
          <w:szCs w:val="26"/>
        </w:rPr>
      </w:pPr>
      <w:r w:rsidRPr="00E232A6">
        <w:rPr>
          <w:b/>
          <w:bCs/>
          <w:sz w:val="26"/>
          <w:szCs w:val="26"/>
        </w:rPr>
        <w:t>Transferência à Câmara</w:t>
      </w:r>
    </w:p>
    <w:p w:rsidR="00EB7A3F" w:rsidRPr="00E232A6" w:rsidP="00AD3A84" w14:paraId="4645E015" w14:textId="4B9CD33E">
      <w:pPr>
        <w:spacing w:before="240" w:after="240"/>
        <w:ind w:left="720"/>
        <w:contextualSpacing/>
        <w:jc w:val="both"/>
        <w:rPr>
          <w:sz w:val="26"/>
          <w:szCs w:val="26"/>
        </w:rPr>
      </w:pPr>
      <w:r w:rsidRPr="00E232A6">
        <w:rPr>
          <w:sz w:val="26"/>
          <w:szCs w:val="26"/>
          <w:shd w:val="clear" w:color="auto" w:fill="FFFFFF"/>
        </w:rPr>
        <w:t xml:space="preserve">A Constituição Federal de 88 prevê atualmente quatro faixas de limites de repasses de recursos para as câmaras em razão do número de habitantes: 5%, 6%, 7% ou 8% da receita tributária do município, incluídas as transferências constitucionais. </w:t>
      </w:r>
      <w:r w:rsidRPr="00E232A6">
        <w:rPr>
          <w:sz w:val="26"/>
          <w:szCs w:val="26"/>
        </w:rPr>
        <w:t>As Transferências da Prefeitura para a Câmara Municipal de Mogi Mirim, exercício 2.017 foram de 2,67% sendo o limite 7% conforme Art. 29-A.</w:t>
      </w:r>
    </w:p>
    <w:p w:rsidR="0071292F" w:rsidRPr="00E232A6" w:rsidP="00AD3A84" w14:paraId="5A60D40E" w14:textId="77777777">
      <w:pPr>
        <w:spacing w:before="240" w:after="240"/>
        <w:ind w:left="720"/>
        <w:contextualSpacing/>
        <w:jc w:val="both"/>
        <w:rPr>
          <w:sz w:val="26"/>
          <w:szCs w:val="26"/>
        </w:rPr>
      </w:pPr>
    </w:p>
    <w:p w:rsidR="00EB7A3F" w:rsidRPr="00E232A6" w:rsidP="00AD3A84" w14:paraId="01B25189" w14:textId="77777777">
      <w:pPr>
        <w:numPr>
          <w:ilvl w:val="0"/>
          <w:numId w:val="10"/>
        </w:numPr>
        <w:spacing w:before="240" w:after="240"/>
        <w:contextualSpacing/>
        <w:jc w:val="both"/>
        <w:textAlignment w:val="baseline"/>
        <w:rPr>
          <w:b/>
          <w:bCs/>
          <w:sz w:val="26"/>
          <w:szCs w:val="26"/>
        </w:rPr>
      </w:pPr>
      <w:r w:rsidRPr="00E232A6">
        <w:rPr>
          <w:b/>
          <w:bCs/>
          <w:sz w:val="26"/>
          <w:szCs w:val="26"/>
        </w:rPr>
        <w:t>Gastos com pessoal</w:t>
      </w:r>
    </w:p>
    <w:p w:rsidR="00EB7A3F" w:rsidRPr="00E232A6" w:rsidP="00AD3A84" w14:paraId="30EEA852" w14:textId="1BD96B15">
      <w:pPr>
        <w:spacing w:before="240" w:after="240"/>
        <w:ind w:left="720"/>
        <w:contextualSpacing/>
        <w:jc w:val="both"/>
        <w:rPr>
          <w:sz w:val="26"/>
          <w:szCs w:val="26"/>
        </w:rPr>
      </w:pPr>
      <w:r w:rsidRPr="00E232A6">
        <w:rPr>
          <w:sz w:val="26"/>
          <w:szCs w:val="26"/>
        </w:rPr>
        <w:t>52,09%, ultrapassando o limite previsto no Art. 22, parágrafo único, da Lei de Responsabilidade Fiscal, no 3º</w:t>
      </w:r>
      <w:r w:rsidR="00455DC3">
        <w:rPr>
          <w:sz w:val="26"/>
          <w:szCs w:val="26"/>
        </w:rPr>
        <w:t xml:space="preserve"> (terceiro)</w:t>
      </w:r>
      <w:r w:rsidRPr="00E232A6">
        <w:rPr>
          <w:sz w:val="26"/>
          <w:szCs w:val="26"/>
        </w:rPr>
        <w:t xml:space="preserve"> quadrimestre. Aumento exponencial da folha de pagamento, acima do aumento da arrecadação no mesmo período, o que enseja medidas urgentes de contenção por parte da administração. Em análise de Reexame </w:t>
      </w:r>
    </w:p>
    <w:p w:rsidR="0084255C" w:rsidRPr="00E232A6" w:rsidP="00AD3A84" w14:paraId="665196A0" w14:textId="77777777">
      <w:pPr>
        <w:spacing w:before="240" w:after="240"/>
        <w:ind w:left="720"/>
        <w:contextualSpacing/>
        <w:jc w:val="both"/>
        <w:textAlignment w:val="baseline"/>
        <w:rPr>
          <w:b/>
          <w:bCs/>
          <w:sz w:val="26"/>
          <w:szCs w:val="26"/>
        </w:rPr>
      </w:pPr>
    </w:p>
    <w:p w:rsidR="00EB7A3F" w:rsidRPr="00E232A6" w:rsidP="00AD3A84" w14:paraId="4EBC2A6E" w14:textId="7457C5F1">
      <w:pPr>
        <w:numPr>
          <w:ilvl w:val="0"/>
          <w:numId w:val="11"/>
        </w:numPr>
        <w:spacing w:before="240" w:after="240"/>
        <w:contextualSpacing/>
        <w:jc w:val="both"/>
        <w:textAlignment w:val="baseline"/>
        <w:rPr>
          <w:b/>
          <w:bCs/>
          <w:sz w:val="26"/>
          <w:szCs w:val="26"/>
        </w:rPr>
      </w:pPr>
      <w:r w:rsidRPr="00E232A6">
        <w:rPr>
          <w:b/>
          <w:bCs/>
          <w:sz w:val="26"/>
          <w:szCs w:val="26"/>
        </w:rPr>
        <w:t>Remuneração Agentes Políticos</w:t>
      </w:r>
    </w:p>
    <w:p w:rsidR="00EB7A3F" w:rsidRPr="00E232A6" w:rsidP="00AD3A84" w14:paraId="23B4AA3C" w14:textId="4FB3F174">
      <w:pPr>
        <w:spacing w:before="240" w:after="240"/>
        <w:ind w:left="720"/>
        <w:contextualSpacing/>
        <w:jc w:val="both"/>
        <w:rPr>
          <w:sz w:val="26"/>
          <w:szCs w:val="26"/>
        </w:rPr>
      </w:pPr>
      <w:r w:rsidRPr="00E232A6">
        <w:rPr>
          <w:sz w:val="26"/>
          <w:szCs w:val="26"/>
        </w:rPr>
        <w:t>Não houve fixação de subsídio para a legislatura em questão, motivo pelo qual a legislação anterior permaneceu em vigor. Durante o exercício, a administração fez incidir sobre a remuneração dos agentes revisões aprovadas em anos anteriores, mas não aplicadas à folha de pagamento. A medida gerou uma Ação Civil Pública, com determinação de suspensão dos pagamentos e devolução dos valores. Considerando o caráter da decisão, o Tribunal de Contas entendeu que a situação deve ser acompanhada.</w:t>
      </w:r>
    </w:p>
    <w:p w:rsidR="008634BD" w:rsidRPr="00E232A6" w:rsidP="008634BD" w14:paraId="5F8F86F7" w14:textId="77777777">
      <w:pPr>
        <w:spacing w:before="240" w:after="240"/>
        <w:ind w:left="720"/>
        <w:contextualSpacing/>
        <w:jc w:val="both"/>
        <w:textAlignment w:val="baseline"/>
        <w:rPr>
          <w:b/>
          <w:bCs/>
          <w:sz w:val="26"/>
          <w:szCs w:val="26"/>
        </w:rPr>
      </w:pPr>
    </w:p>
    <w:p w:rsidR="00EB7A3F" w:rsidRPr="00E232A6" w:rsidP="00AD3A84" w14:paraId="64F38554" w14:textId="681A99EA">
      <w:pPr>
        <w:numPr>
          <w:ilvl w:val="0"/>
          <w:numId w:val="12"/>
        </w:numPr>
        <w:spacing w:before="240" w:after="240"/>
        <w:contextualSpacing/>
        <w:jc w:val="both"/>
        <w:textAlignment w:val="baseline"/>
        <w:rPr>
          <w:b/>
          <w:bCs/>
          <w:sz w:val="26"/>
          <w:szCs w:val="26"/>
        </w:rPr>
      </w:pPr>
      <w:r w:rsidRPr="00E232A6">
        <w:rPr>
          <w:b/>
          <w:bCs/>
          <w:sz w:val="26"/>
          <w:szCs w:val="26"/>
        </w:rPr>
        <w:t>Encargos Sociais</w:t>
      </w:r>
    </w:p>
    <w:p w:rsidR="00EB7A3F" w:rsidRPr="00E232A6" w:rsidP="00AD3A84" w14:paraId="6D4ED6EE" w14:textId="04154EF2">
      <w:pPr>
        <w:spacing w:before="240" w:after="240"/>
        <w:ind w:left="720"/>
        <w:contextualSpacing/>
        <w:jc w:val="both"/>
        <w:rPr>
          <w:b/>
          <w:bCs/>
          <w:sz w:val="26"/>
          <w:szCs w:val="26"/>
        </w:rPr>
      </w:pPr>
      <w:r w:rsidRPr="00E232A6">
        <w:rPr>
          <w:sz w:val="26"/>
          <w:szCs w:val="26"/>
        </w:rPr>
        <w:t xml:space="preserve">Durante o exercício a Prefeitura deixou de recolher os encargos sociais de outubro (inclusive a parte dos servidores) e recolheu parcialmente os encargos de novembro e da folha de 13º </w:t>
      </w:r>
      <w:r w:rsidR="00497D99">
        <w:rPr>
          <w:sz w:val="26"/>
          <w:szCs w:val="26"/>
        </w:rPr>
        <w:t xml:space="preserve">(décimo terceiro) </w:t>
      </w:r>
      <w:r w:rsidRPr="00E232A6">
        <w:rPr>
          <w:sz w:val="26"/>
          <w:szCs w:val="26"/>
        </w:rPr>
        <w:t>salário. Os Débitos foram objeto de parcelamento em 2</w:t>
      </w:r>
      <w:r w:rsidR="00455DC3">
        <w:rPr>
          <w:sz w:val="26"/>
          <w:szCs w:val="26"/>
        </w:rPr>
        <w:t>.</w:t>
      </w:r>
      <w:r w:rsidRPr="00E232A6">
        <w:rPr>
          <w:sz w:val="26"/>
          <w:szCs w:val="26"/>
        </w:rPr>
        <w:t>017 e 2</w:t>
      </w:r>
      <w:r w:rsidR="00455DC3">
        <w:rPr>
          <w:sz w:val="26"/>
          <w:szCs w:val="26"/>
        </w:rPr>
        <w:t>.</w:t>
      </w:r>
      <w:r w:rsidRPr="00E232A6">
        <w:rPr>
          <w:sz w:val="26"/>
          <w:szCs w:val="26"/>
        </w:rPr>
        <w:t>018. Devido à essa falta por parte da Prefeitura de Mogi Mirim num primeiro momento, o Tribunal de Contas apontou como</w:t>
      </w:r>
      <w:r w:rsidRPr="00E232A6">
        <w:rPr>
          <w:b/>
          <w:bCs/>
          <w:sz w:val="26"/>
          <w:szCs w:val="26"/>
        </w:rPr>
        <w:t xml:space="preserve"> Irregular</w:t>
      </w:r>
      <w:r w:rsidRPr="00E232A6">
        <w:rPr>
          <w:sz w:val="26"/>
          <w:szCs w:val="26"/>
        </w:rPr>
        <w:t>, sendo que após Reexame </w:t>
      </w:r>
      <w:r w:rsidRPr="00E232A6" w:rsidR="00F00D98">
        <w:rPr>
          <w:sz w:val="26"/>
          <w:szCs w:val="26"/>
        </w:rPr>
        <w:t xml:space="preserve">foi </w:t>
      </w:r>
      <w:r w:rsidRPr="00E232A6" w:rsidR="00F00D98">
        <w:rPr>
          <w:b/>
          <w:bCs/>
          <w:sz w:val="26"/>
          <w:szCs w:val="26"/>
        </w:rPr>
        <w:t>Relevado</w:t>
      </w:r>
      <w:r w:rsidRPr="00E232A6">
        <w:rPr>
          <w:b/>
          <w:bCs/>
          <w:sz w:val="26"/>
          <w:szCs w:val="26"/>
        </w:rPr>
        <w:t>.</w:t>
      </w:r>
    </w:p>
    <w:p w:rsidR="0071292F" w:rsidRPr="00E232A6" w:rsidP="00AD3A84" w14:paraId="2E2E576E" w14:textId="6EDF2B0C">
      <w:pPr>
        <w:spacing w:before="240" w:after="240"/>
        <w:ind w:left="720"/>
        <w:contextualSpacing/>
        <w:jc w:val="both"/>
        <w:rPr>
          <w:sz w:val="26"/>
          <w:szCs w:val="26"/>
        </w:rPr>
      </w:pPr>
    </w:p>
    <w:p w:rsidR="00EB7A3F" w:rsidRPr="00E232A6" w:rsidP="00AD3A84" w14:paraId="6686ACFB" w14:textId="77777777">
      <w:pPr>
        <w:numPr>
          <w:ilvl w:val="0"/>
          <w:numId w:val="13"/>
        </w:numPr>
        <w:spacing w:before="240" w:after="240"/>
        <w:contextualSpacing/>
        <w:jc w:val="both"/>
        <w:textAlignment w:val="baseline"/>
        <w:rPr>
          <w:b/>
          <w:bCs/>
          <w:sz w:val="26"/>
          <w:szCs w:val="26"/>
        </w:rPr>
      </w:pPr>
      <w:r w:rsidRPr="00E232A6">
        <w:rPr>
          <w:b/>
          <w:bCs/>
          <w:sz w:val="26"/>
          <w:szCs w:val="26"/>
        </w:rPr>
        <w:t>Precatórios</w:t>
      </w:r>
    </w:p>
    <w:p w:rsidR="00EB7A3F" w:rsidRPr="00E232A6" w:rsidP="00AD3A84" w14:paraId="57A71484" w14:textId="42DCD740">
      <w:pPr>
        <w:spacing w:before="240" w:after="240"/>
        <w:ind w:left="720"/>
        <w:contextualSpacing/>
        <w:jc w:val="both"/>
        <w:rPr>
          <w:sz w:val="26"/>
          <w:szCs w:val="26"/>
        </w:rPr>
      </w:pPr>
      <w:r w:rsidRPr="00E232A6">
        <w:rPr>
          <w:sz w:val="26"/>
          <w:szCs w:val="26"/>
        </w:rPr>
        <w:t xml:space="preserve">Conforme apurado nas contas do exercício anterior (2016), a Prefeitura de Mogi Mirim vinha recolhendo ao Tribunal de Justiça o valor equivalente a 4,40% da RCL - Receita Corrente Líquida - para pagamento de Precatórios. A porcentagem foi fixada pelo próprio Tribunal. Em 2017 a Prefeitura emitiu o decreto, reduzindo o valor do recolhimento para 2,0% de forma unilateral, sem anuência do Tribunal de Justiça. No </w:t>
      </w:r>
      <w:r w:rsidRPr="00E232A6" w:rsidR="006D5C94">
        <w:rPr>
          <w:sz w:val="26"/>
          <w:szCs w:val="26"/>
        </w:rPr>
        <w:t>ritmo</w:t>
      </w:r>
      <w:r w:rsidRPr="00E232A6">
        <w:rPr>
          <w:sz w:val="26"/>
          <w:szCs w:val="26"/>
        </w:rPr>
        <w:t xml:space="preserve"> dos pagamentos de 2</w:t>
      </w:r>
      <w:r w:rsidRPr="00E232A6" w:rsidR="006D5C94">
        <w:rPr>
          <w:sz w:val="26"/>
          <w:szCs w:val="26"/>
        </w:rPr>
        <w:t>.</w:t>
      </w:r>
      <w:r w:rsidRPr="00E232A6">
        <w:rPr>
          <w:sz w:val="26"/>
          <w:szCs w:val="26"/>
        </w:rPr>
        <w:t>017, as dívidas com precatórios não estarão liquidadas até o exercício de 2</w:t>
      </w:r>
      <w:r w:rsidRPr="00E232A6" w:rsidR="006D5C94">
        <w:rPr>
          <w:sz w:val="26"/>
          <w:szCs w:val="26"/>
        </w:rPr>
        <w:t>.</w:t>
      </w:r>
      <w:r w:rsidRPr="00E232A6">
        <w:rPr>
          <w:sz w:val="26"/>
          <w:szCs w:val="26"/>
        </w:rPr>
        <w:t>024, conforme Emenda Constitucional nº 99/2017. A origem não possui certidão de regularidade emitida pelo DEPRE - Diretoria de Execução de Precatórios.</w:t>
      </w:r>
    </w:p>
    <w:p w:rsidR="0071292F" w:rsidRPr="00E232A6" w:rsidP="00AD3A84" w14:paraId="2D3A863F" w14:textId="07521586">
      <w:pPr>
        <w:spacing w:before="240" w:after="240"/>
        <w:ind w:left="720"/>
        <w:contextualSpacing/>
        <w:jc w:val="both"/>
        <w:rPr>
          <w:sz w:val="26"/>
          <w:szCs w:val="26"/>
        </w:rPr>
      </w:pPr>
    </w:p>
    <w:p w:rsidR="00EB7A3F" w:rsidRPr="00E232A6" w:rsidP="00AD3A84" w14:paraId="3FCAE50B" w14:textId="77777777">
      <w:pPr>
        <w:numPr>
          <w:ilvl w:val="0"/>
          <w:numId w:val="14"/>
        </w:numPr>
        <w:spacing w:before="240" w:after="240"/>
        <w:contextualSpacing/>
        <w:jc w:val="both"/>
        <w:textAlignment w:val="baseline"/>
        <w:rPr>
          <w:b/>
          <w:bCs/>
          <w:sz w:val="26"/>
          <w:szCs w:val="26"/>
        </w:rPr>
      </w:pPr>
      <w:r w:rsidRPr="00E232A6">
        <w:rPr>
          <w:b/>
          <w:bCs/>
          <w:sz w:val="26"/>
          <w:szCs w:val="26"/>
        </w:rPr>
        <w:t>Resultado da Execução Orçamentária</w:t>
      </w:r>
    </w:p>
    <w:p w:rsidR="00EB7A3F" w:rsidRPr="00E232A6" w:rsidP="00AD3A84" w14:paraId="65C1AFB6" w14:textId="5C6AC11D">
      <w:pPr>
        <w:spacing w:before="240" w:after="240"/>
        <w:ind w:left="720"/>
        <w:contextualSpacing/>
        <w:jc w:val="both"/>
        <w:rPr>
          <w:sz w:val="26"/>
          <w:szCs w:val="26"/>
        </w:rPr>
      </w:pPr>
      <w:r w:rsidRPr="00E232A6">
        <w:rPr>
          <w:sz w:val="26"/>
          <w:szCs w:val="26"/>
        </w:rPr>
        <w:t xml:space="preserve">Ajustes decorrentes de precatórios pagos e não empenhados resultaram em um déficit de 0,07% na execução orçamentária. Abertura de créditos suplementares por excesso de arrecadação, no importe R$ 7.316.704,11 (sete milhões trezentos e dezesseis mil setecentos e quatro reais e onze centavos). No entanto, não houve excesso, </w:t>
      </w:r>
      <w:r w:rsidRPr="00E232A6" w:rsidR="006D5C94">
        <w:rPr>
          <w:sz w:val="26"/>
          <w:szCs w:val="26"/>
        </w:rPr>
        <w:t>pois,</w:t>
      </w:r>
      <w:r w:rsidRPr="00E232A6">
        <w:rPr>
          <w:sz w:val="26"/>
          <w:szCs w:val="26"/>
        </w:rPr>
        <w:t xml:space="preserve"> a arrecadação ficou aquém da previsão inicial. </w:t>
      </w:r>
      <w:r w:rsidRPr="00E232A6">
        <w:rPr>
          <w:sz w:val="26"/>
          <w:szCs w:val="26"/>
        </w:rPr>
        <w:t>A previsão de investimentos na Lei Orçamentária era de R$ 33.760.400,00 (trinta e três milhões setecentos e sessenta mil e quatrocentos reais).</w:t>
      </w:r>
    </w:p>
    <w:p w:rsidR="0084255C" w:rsidRPr="00E232A6" w:rsidP="00AD3A84" w14:paraId="067F5572" w14:textId="750B9E1E">
      <w:pPr>
        <w:spacing w:before="240" w:after="240"/>
        <w:ind w:left="720"/>
        <w:contextualSpacing/>
        <w:jc w:val="both"/>
        <w:rPr>
          <w:sz w:val="26"/>
          <w:szCs w:val="26"/>
        </w:rPr>
      </w:pPr>
    </w:p>
    <w:p w:rsidR="00EB7A3F" w:rsidRPr="00E232A6" w:rsidP="00AD3A84" w14:paraId="527EB55A" w14:textId="77777777">
      <w:pPr>
        <w:numPr>
          <w:ilvl w:val="0"/>
          <w:numId w:val="15"/>
        </w:numPr>
        <w:spacing w:before="240" w:after="240"/>
        <w:contextualSpacing/>
        <w:jc w:val="both"/>
        <w:textAlignment w:val="baseline"/>
        <w:rPr>
          <w:b/>
          <w:bCs/>
          <w:sz w:val="26"/>
          <w:szCs w:val="26"/>
        </w:rPr>
      </w:pPr>
      <w:r w:rsidRPr="00E232A6">
        <w:rPr>
          <w:b/>
          <w:bCs/>
          <w:sz w:val="26"/>
          <w:szCs w:val="26"/>
        </w:rPr>
        <w:t>Resultado Financeiro</w:t>
      </w:r>
    </w:p>
    <w:p w:rsidR="00EB7A3F" w:rsidRPr="00E232A6" w:rsidP="00AD3A84" w14:paraId="62002E89" w14:textId="7F78803B">
      <w:pPr>
        <w:spacing w:before="240" w:after="240"/>
        <w:ind w:left="720"/>
        <w:contextualSpacing/>
        <w:jc w:val="both"/>
        <w:rPr>
          <w:b/>
          <w:bCs/>
          <w:sz w:val="26"/>
          <w:szCs w:val="26"/>
        </w:rPr>
      </w:pPr>
      <w:r w:rsidRPr="00E232A6">
        <w:rPr>
          <w:sz w:val="26"/>
          <w:szCs w:val="26"/>
        </w:rPr>
        <w:t>Está relacionado ao lucro e prejuízo entre as atividades da organização. O Resultado Financeiro registra as entradas e saídas do caixa, contabiliza as receitas, custos, despesas e investimentos. O Tribunal de Contas apurou o Resultado Financeiro como positivo no valor de R$ 1.986.556,34 (um milhão novecentos e oitenta e seis mil quinhentos e cinquenta e seis reais e trinta e quatro centavos).</w:t>
      </w:r>
      <w:r w:rsidRPr="00E232A6">
        <w:rPr>
          <w:b/>
          <w:bCs/>
          <w:sz w:val="26"/>
          <w:szCs w:val="26"/>
        </w:rPr>
        <w:t>      </w:t>
      </w:r>
    </w:p>
    <w:p w:rsidR="0071292F" w:rsidRPr="00E232A6" w:rsidP="00AD3A84" w14:paraId="259047F6" w14:textId="42E486F8">
      <w:pPr>
        <w:spacing w:before="240" w:after="240"/>
        <w:ind w:left="720"/>
        <w:contextualSpacing/>
        <w:jc w:val="both"/>
        <w:rPr>
          <w:sz w:val="26"/>
          <w:szCs w:val="26"/>
        </w:rPr>
      </w:pPr>
    </w:p>
    <w:p w:rsidR="00EB7A3F" w:rsidRPr="00E232A6" w:rsidP="00AD3A84" w14:paraId="53EF28DF" w14:textId="7B929EE9">
      <w:pPr>
        <w:spacing w:after="240"/>
        <w:contextualSpacing/>
        <w:rPr>
          <w:b/>
          <w:bCs/>
          <w:sz w:val="26"/>
          <w:szCs w:val="26"/>
          <w:u w:val="single"/>
        </w:rPr>
      </w:pPr>
      <w:r w:rsidRPr="00E232A6">
        <w:rPr>
          <w:b/>
          <w:bCs/>
          <w:sz w:val="26"/>
          <w:szCs w:val="26"/>
          <w:u w:val="single"/>
        </w:rPr>
        <w:t>D</w:t>
      </w:r>
      <w:r w:rsidRPr="00E232A6" w:rsidR="000E0AE1">
        <w:rPr>
          <w:b/>
          <w:bCs/>
          <w:sz w:val="26"/>
          <w:szCs w:val="26"/>
          <w:u w:val="single"/>
        </w:rPr>
        <w:t xml:space="preserve">a Análise dos </w:t>
      </w:r>
      <w:r w:rsidRPr="00E232A6" w:rsidR="007F16A6">
        <w:rPr>
          <w:b/>
          <w:bCs/>
          <w:sz w:val="26"/>
          <w:szCs w:val="26"/>
          <w:u w:val="single"/>
        </w:rPr>
        <w:t>Indicadores</w:t>
      </w:r>
      <w:r w:rsidRPr="00E232A6">
        <w:rPr>
          <w:b/>
          <w:bCs/>
          <w:sz w:val="26"/>
          <w:szCs w:val="26"/>
          <w:u w:val="single"/>
        </w:rPr>
        <w:t xml:space="preserve"> - TCE SP </w:t>
      </w:r>
    </w:p>
    <w:p w:rsidR="007A4D83" w:rsidRPr="00E232A6" w:rsidP="00AD3A84" w14:paraId="571050D2" w14:textId="77777777">
      <w:pPr>
        <w:spacing w:after="240"/>
        <w:contextualSpacing/>
        <w:rPr>
          <w:sz w:val="26"/>
          <w:szCs w:val="26"/>
          <w:u w:val="single"/>
        </w:rPr>
      </w:pPr>
    </w:p>
    <w:tbl>
      <w:tblPr>
        <w:tblStyle w:val="GridTable2"/>
        <w:tblW w:w="9639" w:type="dxa"/>
        <w:tblLook w:val="04A0"/>
      </w:tblPr>
      <w:tblGrid>
        <w:gridCol w:w="1418"/>
        <w:gridCol w:w="852"/>
        <w:gridCol w:w="851"/>
        <w:gridCol w:w="851"/>
        <w:gridCol w:w="5667"/>
      </w:tblGrid>
      <w:tr w14:paraId="415C6086" w14:textId="77777777" w:rsidTr="001B2559">
        <w:tblPrEx>
          <w:tblW w:w="9639" w:type="dxa"/>
          <w:tblLook w:val="04A0"/>
        </w:tblPrEx>
        <w:trPr>
          <w:trHeight w:val="397"/>
        </w:trPr>
        <w:tc>
          <w:tcPr>
            <w:tcW w:w="1418" w:type="dxa"/>
            <w:hideMark/>
          </w:tcPr>
          <w:p w:rsidR="00EB7A3F" w:rsidRPr="00E232A6" w:rsidP="00AD3A84" w14:paraId="2C61EAD4" w14:textId="77777777">
            <w:pPr>
              <w:ind w:left="-100"/>
              <w:contextualSpacing/>
              <w:jc w:val="both"/>
              <w:rPr>
                <w:sz w:val="24"/>
                <w:szCs w:val="24"/>
              </w:rPr>
            </w:pPr>
            <w:r w:rsidRPr="00E232A6">
              <w:rPr>
                <w:sz w:val="24"/>
                <w:szCs w:val="24"/>
              </w:rPr>
              <w:t> </w:t>
            </w:r>
          </w:p>
        </w:tc>
        <w:tc>
          <w:tcPr>
            <w:tcW w:w="852" w:type="dxa"/>
            <w:vAlign w:val="bottom"/>
            <w:hideMark/>
          </w:tcPr>
          <w:p w:rsidR="00EB7A3F" w:rsidRPr="00E232A6" w:rsidP="00AD3A84" w14:paraId="437A971D" w14:textId="77777777">
            <w:pPr>
              <w:ind w:left="-100" w:right="80"/>
              <w:contextualSpacing/>
              <w:jc w:val="center"/>
              <w:rPr>
                <w:sz w:val="24"/>
                <w:szCs w:val="24"/>
              </w:rPr>
            </w:pPr>
            <w:r w:rsidRPr="00E232A6">
              <w:rPr>
                <w:sz w:val="24"/>
                <w:szCs w:val="24"/>
              </w:rPr>
              <w:t>2015</w:t>
            </w:r>
          </w:p>
        </w:tc>
        <w:tc>
          <w:tcPr>
            <w:tcW w:w="851" w:type="dxa"/>
            <w:vAlign w:val="bottom"/>
            <w:hideMark/>
          </w:tcPr>
          <w:p w:rsidR="00EB7A3F" w:rsidRPr="00E232A6" w:rsidP="00AD3A84" w14:paraId="5104140B" w14:textId="77777777">
            <w:pPr>
              <w:ind w:left="-100"/>
              <w:contextualSpacing/>
              <w:jc w:val="center"/>
              <w:rPr>
                <w:sz w:val="24"/>
                <w:szCs w:val="24"/>
              </w:rPr>
            </w:pPr>
            <w:r w:rsidRPr="00E232A6">
              <w:rPr>
                <w:sz w:val="24"/>
                <w:szCs w:val="24"/>
              </w:rPr>
              <w:t>2016</w:t>
            </w:r>
          </w:p>
        </w:tc>
        <w:tc>
          <w:tcPr>
            <w:tcW w:w="851" w:type="dxa"/>
            <w:vAlign w:val="bottom"/>
            <w:hideMark/>
          </w:tcPr>
          <w:p w:rsidR="00EB7A3F" w:rsidRPr="00E232A6" w:rsidP="00AD3A84" w14:paraId="2481C20A" w14:textId="77777777">
            <w:pPr>
              <w:ind w:left="-100" w:right="100"/>
              <w:contextualSpacing/>
              <w:jc w:val="center"/>
              <w:rPr>
                <w:sz w:val="24"/>
                <w:szCs w:val="24"/>
              </w:rPr>
            </w:pPr>
            <w:r w:rsidRPr="00E232A6">
              <w:rPr>
                <w:sz w:val="24"/>
                <w:szCs w:val="24"/>
              </w:rPr>
              <w:t>2017</w:t>
            </w:r>
          </w:p>
        </w:tc>
        <w:tc>
          <w:tcPr>
            <w:tcW w:w="5667" w:type="dxa"/>
            <w:vAlign w:val="bottom"/>
            <w:hideMark/>
          </w:tcPr>
          <w:p w:rsidR="00EB7A3F" w:rsidRPr="00E232A6" w:rsidP="00441BB6" w14:paraId="20FDBD85" w14:textId="77777777">
            <w:pPr>
              <w:spacing w:before="240"/>
              <w:ind w:left="-100"/>
              <w:contextualSpacing/>
              <w:jc w:val="center"/>
              <w:rPr>
                <w:sz w:val="24"/>
                <w:szCs w:val="24"/>
              </w:rPr>
            </w:pPr>
            <w:r w:rsidRPr="00E232A6">
              <w:rPr>
                <w:sz w:val="24"/>
                <w:szCs w:val="24"/>
              </w:rPr>
              <w:t>Resultado (conforme sítio eletrônico TCESP)</w:t>
            </w:r>
          </w:p>
        </w:tc>
      </w:tr>
      <w:tr w14:paraId="7420C6A4" w14:textId="77777777" w:rsidTr="001B2559">
        <w:tblPrEx>
          <w:tblW w:w="9639" w:type="dxa"/>
          <w:tblLook w:val="04A0"/>
        </w:tblPrEx>
        <w:trPr>
          <w:trHeight w:val="397"/>
        </w:trPr>
        <w:tc>
          <w:tcPr>
            <w:tcW w:w="1418" w:type="dxa"/>
            <w:hideMark/>
          </w:tcPr>
          <w:p w:rsidR="00EB7A3F" w:rsidRPr="00E232A6" w:rsidP="00AD3A84" w14:paraId="0FEFB9EB" w14:textId="77777777">
            <w:pPr>
              <w:ind w:left="-100"/>
              <w:contextualSpacing/>
              <w:jc w:val="both"/>
              <w:rPr>
                <w:sz w:val="24"/>
                <w:szCs w:val="24"/>
              </w:rPr>
            </w:pPr>
            <w:r w:rsidRPr="00E232A6">
              <w:rPr>
                <w:sz w:val="24"/>
                <w:szCs w:val="24"/>
              </w:rPr>
              <w:t>i-EGM </w:t>
            </w:r>
          </w:p>
        </w:tc>
        <w:tc>
          <w:tcPr>
            <w:tcW w:w="852" w:type="dxa"/>
            <w:hideMark/>
          </w:tcPr>
          <w:p w:rsidR="00EB7A3F" w:rsidRPr="00E232A6" w:rsidP="00AD3A84" w14:paraId="7ABC198D" w14:textId="77777777">
            <w:pPr>
              <w:ind w:left="-100" w:right="80"/>
              <w:contextualSpacing/>
              <w:jc w:val="center"/>
              <w:rPr>
                <w:sz w:val="24"/>
                <w:szCs w:val="24"/>
              </w:rPr>
            </w:pPr>
            <w:r w:rsidRPr="00E232A6">
              <w:rPr>
                <w:b/>
                <w:bCs/>
                <w:sz w:val="24"/>
                <w:szCs w:val="24"/>
              </w:rPr>
              <w:t>B</w:t>
            </w:r>
          </w:p>
        </w:tc>
        <w:tc>
          <w:tcPr>
            <w:tcW w:w="851" w:type="dxa"/>
            <w:hideMark/>
          </w:tcPr>
          <w:p w:rsidR="00EB7A3F" w:rsidRPr="00E232A6" w:rsidP="00AD3A84" w14:paraId="1D2D245F" w14:textId="77777777">
            <w:pPr>
              <w:ind w:left="-100" w:right="80"/>
              <w:contextualSpacing/>
              <w:jc w:val="center"/>
              <w:rPr>
                <w:sz w:val="24"/>
                <w:szCs w:val="24"/>
              </w:rPr>
            </w:pPr>
            <w:r w:rsidRPr="00E232A6">
              <w:rPr>
                <w:b/>
                <w:bCs/>
                <w:sz w:val="24"/>
                <w:szCs w:val="24"/>
              </w:rPr>
              <w:t>B</w:t>
            </w:r>
          </w:p>
        </w:tc>
        <w:tc>
          <w:tcPr>
            <w:tcW w:w="851" w:type="dxa"/>
            <w:hideMark/>
          </w:tcPr>
          <w:p w:rsidR="00EB7A3F" w:rsidRPr="00E232A6" w:rsidP="00AD3A84" w14:paraId="67D90496" w14:textId="77777777">
            <w:pPr>
              <w:ind w:left="-100" w:right="80"/>
              <w:contextualSpacing/>
              <w:jc w:val="center"/>
              <w:rPr>
                <w:sz w:val="24"/>
                <w:szCs w:val="24"/>
              </w:rPr>
            </w:pPr>
            <w:r w:rsidRPr="00E232A6">
              <w:rPr>
                <w:sz w:val="24"/>
                <w:szCs w:val="24"/>
              </w:rPr>
              <w:t>C+</w:t>
            </w:r>
          </w:p>
        </w:tc>
        <w:tc>
          <w:tcPr>
            <w:tcW w:w="5667" w:type="dxa"/>
            <w:hideMark/>
          </w:tcPr>
          <w:p w:rsidR="00EB7A3F" w:rsidRPr="00E232A6" w:rsidP="00AD3A84" w14:paraId="0B91D18D" w14:textId="77777777">
            <w:pPr>
              <w:spacing w:before="240"/>
              <w:ind w:left="-100"/>
              <w:contextualSpacing/>
              <w:jc w:val="both"/>
              <w:rPr>
                <w:sz w:val="24"/>
                <w:szCs w:val="24"/>
              </w:rPr>
            </w:pPr>
            <w:r w:rsidRPr="00E232A6">
              <w:rPr>
                <w:b/>
                <w:bCs/>
                <w:sz w:val="24"/>
                <w:szCs w:val="24"/>
              </w:rPr>
              <w:t> </w:t>
            </w:r>
          </w:p>
        </w:tc>
      </w:tr>
      <w:tr w14:paraId="21BFECEC" w14:textId="77777777" w:rsidTr="001B2559">
        <w:tblPrEx>
          <w:tblW w:w="9639" w:type="dxa"/>
          <w:tblLook w:val="04A0"/>
        </w:tblPrEx>
        <w:trPr>
          <w:trHeight w:val="397"/>
        </w:trPr>
        <w:tc>
          <w:tcPr>
            <w:tcW w:w="1418" w:type="dxa"/>
            <w:hideMark/>
          </w:tcPr>
          <w:p w:rsidR="00EB7A3F" w:rsidRPr="00E232A6" w:rsidP="00AD3A84" w14:paraId="2871792A" w14:textId="77777777">
            <w:pPr>
              <w:ind w:left="-100"/>
              <w:contextualSpacing/>
              <w:jc w:val="both"/>
              <w:rPr>
                <w:sz w:val="24"/>
                <w:szCs w:val="24"/>
              </w:rPr>
            </w:pPr>
            <w:r w:rsidRPr="00E232A6">
              <w:rPr>
                <w:sz w:val="24"/>
                <w:szCs w:val="24"/>
              </w:rPr>
              <w:t>i-</w:t>
            </w:r>
            <w:r w:rsidRPr="00E232A6">
              <w:rPr>
                <w:sz w:val="24"/>
                <w:szCs w:val="24"/>
              </w:rPr>
              <w:t>Educ</w:t>
            </w:r>
          </w:p>
        </w:tc>
        <w:tc>
          <w:tcPr>
            <w:tcW w:w="852" w:type="dxa"/>
            <w:hideMark/>
          </w:tcPr>
          <w:p w:rsidR="00EB7A3F" w:rsidRPr="00E232A6" w:rsidP="00AD3A84" w14:paraId="24421634"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165A897B"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2A58FD31" w14:textId="77777777">
            <w:pPr>
              <w:ind w:left="-100" w:right="80"/>
              <w:contextualSpacing/>
              <w:jc w:val="center"/>
              <w:rPr>
                <w:sz w:val="24"/>
                <w:szCs w:val="24"/>
              </w:rPr>
            </w:pPr>
            <w:r w:rsidRPr="00E232A6">
              <w:rPr>
                <w:sz w:val="24"/>
                <w:szCs w:val="24"/>
              </w:rPr>
              <w:t>C+ </w:t>
            </w:r>
          </w:p>
        </w:tc>
        <w:tc>
          <w:tcPr>
            <w:tcW w:w="5667" w:type="dxa"/>
            <w:hideMark/>
          </w:tcPr>
          <w:p w:rsidR="00EB7A3F" w:rsidRPr="00E232A6" w:rsidP="00AD3A84" w14:paraId="32F5FB8C" w14:textId="77777777">
            <w:pPr>
              <w:ind w:left="-100" w:right="100"/>
              <w:contextualSpacing/>
              <w:jc w:val="both"/>
              <w:rPr>
                <w:sz w:val="24"/>
                <w:szCs w:val="24"/>
              </w:rPr>
            </w:pPr>
            <w:r w:rsidRPr="00E232A6">
              <w:rPr>
                <w:sz w:val="24"/>
                <w:szCs w:val="24"/>
              </w:rPr>
              <w:t>Dados gerais educação, Avaliação Escolar, Conselho Municipal de Educação, Infraestrutura, Material Escolar, Merenda, Mínimo Constitucional, Plano Municipal de Educação, Professor, Transporte Escolar, Uniforme, Vagas.</w:t>
            </w:r>
          </w:p>
        </w:tc>
      </w:tr>
      <w:tr w14:paraId="61EFA5C5" w14:textId="77777777" w:rsidTr="001B2559">
        <w:tblPrEx>
          <w:tblW w:w="9639" w:type="dxa"/>
          <w:tblLook w:val="04A0"/>
        </w:tblPrEx>
        <w:trPr>
          <w:trHeight w:val="397"/>
        </w:trPr>
        <w:tc>
          <w:tcPr>
            <w:tcW w:w="1418" w:type="dxa"/>
            <w:hideMark/>
          </w:tcPr>
          <w:p w:rsidR="00EB7A3F" w:rsidRPr="00E232A6" w:rsidP="00AD3A84" w14:paraId="5AF0E303" w14:textId="77777777">
            <w:pPr>
              <w:ind w:left="-100"/>
              <w:contextualSpacing/>
              <w:jc w:val="both"/>
              <w:rPr>
                <w:sz w:val="24"/>
                <w:szCs w:val="24"/>
              </w:rPr>
            </w:pPr>
            <w:r w:rsidRPr="00E232A6">
              <w:rPr>
                <w:sz w:val="24"/>
                <w:szCs w:val="24"/>
              </w:rPr>
              <w:t>i-Saúde</w:t>
            </w:r>
          </w:p>
        </w:tc>
        <w:tc>
          <w:tcPr>
            <w:tcW w:w="852" w:type="dxa"/>
            <w:hideMark/>
          </w:tcPr>
          <w:p w:rsidR="00EB7A3F" w:rsidRPr="00E232A6" w:rsidP="00AD3A84" w14:paraId="6641DCA7" w14:textId="77777777">
            <w:pPr>
              <w:ind w:left="-100" w:right="80"/>
              <w:contextualSpacing/>
              <w:jc w:val="center"/>
              <w:rPr>
                <w:sz w:val="24"/>
                <w:szCs w:val="24"/>
              </w:rPr>
            </w:pPr>
            <w:r w:rsidRPr="00E232A6">
              <w:rPr>
                <w:sz w:val="24"/>
                <w:szCs w:val="24"/>
              </w:rPr>
              <w:t>B+ </w:t>
            </w:r>
          </w:p>
        </w:tc>
        <w:tc>
          <w:tcPr>
            <w:tcW w:w="851" w:type="dxa"/>
            <w:hideMark/>
          </w:tcPr>
          <w:p w:rsidR="00EB7A3F" w:rsidRPr="00E232A6" w:rsidP="00AD3A84" w14:paraId="07BAE876"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287498A9" w14:textId="77777777">
            <w:pPr>
              <w:ind w:left="-100" w:right="80"/>
              <w:contextualSpacing/>
              <w:jc w:val="center"/>
              <w:rPr>
                <w:sz w:val="24"/>
                <w:szCs w:val="24"/>
              </w:rPr>
            </w:pPr>
            <w:r w:rsidRPr="00E232A6">
              <w:rPr>
                <w:sz w:val="24"/>
                <w:szCs w:val="24"/>
              </w:rPr>
              <w:t>B</w:t>
            </w:r>
          </w:p>
        </w:tc>
        <w:tc>
          <w:tcPr>
            <w:tcW w:w="5667" w:type="dxa"/>
            <w:hideMark/>
          </w:tcPr>
          <w:p w:rsidR="00EB7A3F" w:rsidRPr="00E232A6" w:rsidP="00AD3A84" w14:paraId="1C11622A" w14:textId="77777777">
            <w:pPr>
              <w:ind w:left="-100" w:right="100"/>
              <w:contextualSpacing/>
              <w:jc w:val="both"/>
              <w:rPr>
                <w:sz w:val="24"/>
                <w:szCs w:val="24"/>
              </w:rPr>
            </w:pPr>
            <w:r w:rsidRPr="00E232A6">
              <w:rPr>
                <w:sz w:val="24"/>
                <w:szCs w:val="24"/>
              </w:rPr>
              <w:t>Atenção Básica, Atendimento à População, Campanha, Conselho Municipal de Saúde, Equipe de Saúde da Família, Infraestrutura, Mínimo Constitucional, Profissionais da Saúde.</w:t>
            </w:r>
          </w:p>
        </w:tc>
      </w:tr>
      <w:tr w14:paraId="3A184D7B" w14:textId="77777777" w:rsidTr="001B2559">
        <w:tblPrEx>
          <w:tblW w:w="9639" w:type="dxa"/>
          <w:tblLook w:val="04A0"/>
        </w:tblPrEx>
        <w:trPr>
          <w:trHeight w:val="397"/>
        </w:trPr>
        <w:tc>
          <w:tcPr>
            <w:tcW w:w="1418" w:type="dxa"/>
            <w:hideMark/>
          </w:tcPr>
          <w:p w:rsidR="00EB7A3F" w:rsidRPr="00E232A6" w:rsidP="00AD3A84" w14:paraId="41B75F77" w14:textId="77777777">
            <w:pPr>
              <w:ind w:left="-100"/>
              <w:contextualSpacing/>
              <w:jc w:val="both"/>
              <w:rPr>
                <w:sz w:val="24"/>
                <w:szCs w:val="24"/>
              </w:rPr>
            </w:pPr>
            <w:r w:rsidRPr="00E232A6">
              <w:rPr>
                <w:sz w:val="24"/>
                <w:szCs w:val="24"/>
              </w:rPr>
              <w:t>i-Planej.</w:t>
            </w:r>
          </w:p>
        </w:tc>
        <w:tc>
          <w:tcPr>
            <w:tcW w:w="852" w:type="dxa"/>
            <w:hideMark/>
          </w:tcPr>
          <w:p w:rsidR="00EB7A3F" w:rsidRPr="00E232A6" w:rsidP="00AD3A84" w14:paraId="32D63D76" w14:textId="77777777">
            <w:pPr>
              <w:ind w:left="-100" w:right="80"/>
              <w:contextualSpacing/>
              <w:jc w:val="center"/>
              <w:rPr>
                <w:sz w:val="24"/>
                <w:szCs w:val="24"/>
              </w:rPr>
            </w:pPr>
            <w:r w:rsidRPr="00E232A6">
              <w:rPr>
                <w:sz w:val="24"/>
                <w:szCs w:val="24"/>
              </w:rPr>
              <w:t>C+</w:t>
            </w:r>
          </w:p>
        </w:tc>
        <w:tc>
          <w:tcPr>
            <w:tcW w:w="851" w:type="dxa"/>
            <w:hideMark/>
          </w:tcPr>
          <w:p w:rsidR="00EB7A3F" w:rsidRPr="00E232A6" w:rsidP="00AD3A84" w14:paraId="60009A8D" w14:textId="77777777">
            <w:pPr>
              <w:ind w:left="-100" w:right="100"/>
              <w:contextualSpacing/>
              <w:jc w:val="center"/>
              <w:rPr>
                <w:sz w:val="24"/>
                <w:szCs w:val="24"/>
              </w:rPr>
            </w:pPr>
            <w:r w:rsidRPr="00E232A6">
              <w:rPr>
                <w:sz w:val="24"/>
                <w:szCs w:val="24"/>
              </w:rPr>
              <w:t>C+</w:t>
            </w:r>
          </w:p>
        </w:tc>
        <w:tc>
          <w:tcPr>
            <w:tcW w:w="851" w:type="dxa"/>
            <w:hideMark/>
          </w:tcPr>
          <w:p w:rsidR="00EB7A3F" w:rsidRPr="00E232A6" w:rsidP="00AD3A84" w14:paraId="12360664" w14:textId="77777777">
            <w:pPr>
              <w:ind w:left="-100" w:right="80"/>
              <w:contextualSpacing/>
              <w:jc w:val="center"/>
              <w:rPr>
                <w:sz w:val="24"/>
                <w:szCs w:val="24"/>
              </w:rPr>
            </w:pPr>
            <w:r w:rsidRPr="00E232A6">
              <w:rPr>
                <w:sz w:val="24"/>
                <w:szCs w:val="24"/>
              </w:rPr>
              <w:t>C</w:t>
            </w:r>
          </w:p>
        </w:tc>
        <w:tc>
          <w:tcPr>
            <w:tcW w:w="5667" w:type="dxa"/>
            <w:hideMark/>
          </w:tcPr>
          <w:p w:rsidR="00EB7A3F" w:rsidRPr="00E232A6" w:rsidP="00AD3A84" w14:paraId="3D9FE4C6" w14:textId="77777777">
            <w:pPr>
              <w:spacing w:before="240"/>
              <w:ind w:left="-100"/>
              <w:contextualSpacing/>
              <w:jc w:val="both"/>
              <w:rPr>
                <w:sz w:val="24"/>
                <w:szCs w:val="24"/>
              </w:rPr>
            </w:pPr>
            <w:r w:rsidRPr="00E232A6">
              <w:rPr>
                <w:sz w:val="24"/>
                <w:szCs w:val="24"/>
              </w:rPr>
              <w:t>Investimento, Pessoal, Programas e Metas.</w:t>
            </w:r>
          </w:p>
        </w:tc>
      </w:tr>
      <w:tr w14:paraId="6731C327" w14:textId="77777777" w:rsidTr="001B2559">
        <w:tblPrEx>
          <w:tblW w:w="9639" w:type="dxa"/>
          <w:tblLook w:val="04A0"/>
        </w:tblPrEx>
        <w:trPr>
          <w:trHeight w:val="397"/>
        </w:trPr>
        <w:tc>
          <w:tcPr>
            <w:tcW w:w="1418" w:type="dxa"/>
            <w:hideMark/>
          </w:tcPr>
          <w:p w:rsidR="00EB7A3F" w:rsidRPr="00E232A6" w:rsidP="00AD3A84" w14:paraId="51614172" w14:textId="77777777">
            <w:pPr>
              <w:ind w:left="-100"/>
              <w:contextualSpacing/>
              <w:jc w:val="both"/>
              <w:rPr>
                <w:sz w:val="24"/>
                <w:szCs w:val="24"/>
              </w:rPr>
            </w:pPr>
            <w:r w:rsidRPr="00E232A6">
              <w:rPr>
                <w:sz w:val="24"/>
                <w:szCs w:val="24"/>
              </w:rPr>
              <w:t>i-Fiscal</w:t>
            </w:r>
          </w:p>
        </w:tc>
        <w:tc>
          <w:tcPr>
            <w:tcW w:w="852" w:type="dxa"/>
            <w:hideMark/>
          </w:tcPr>
          <w:p w:rsidR="00EB7A3F" w:rsidRPr="00E232A6" w:rsidP="00AD3A84" w14:paraId="1B18A37C"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1B448332"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2E69E304" w14:textId="77777777">
            <w:pPr>
              <w:ind w:left="-100" w:right="80"/>
              <w:contextualSpacing/>
              <w:jc w:val="center"/>
              <w:rPr>
                <w:sz w:val="24"/>
                <w:szCs w:val="24"/>
              </w:rPr>
            </w:pPr>
            <w:r w:rsidRPr="00E232A6">
              <w:rPr>
                <w:sz w:val="24"/>
                <w:szCs w:val="24"/>
              </w:rPr>
              <w:t>B</w:t>
            </w:r>
          </w:p>
        </w:tc>
        <w:tc>
          <w:tcPr>
            <w:tcW w:w="5667" w:type="dxa"/>
            <w:hideMark/>
          </w:tcPr>
          <w:p w:rsidR="00EB7A3F" w:rsidRPr="00E232A6" w:rsidP="00AD3A84" w14:paraId="2F36DFBB" w14:textId="77777777">
            <w:pPr>
              <w:spacing w:before="240"/>
              <w:ind w:left="-100"/>
              <w:contextualSpacing/>
              <w:jc w:val="both"/>
              <w:rPr>
                <w:sz w:val="24"/>
                <w:szCs w:val="24"/>
              </w:rPr>
            </w:pPr>
            <w:r w:rsidRPr="00E232A6">
              <w:rPr>
                <w:sz w:val="24"/>
                <w:szCs w:val="24"/>
              </w:rPr>
              <w:t>Dívida Ativa, Dívida Fundada, Execução Orçamentária, Finanças, Gestão Fiscal, Precatórios, Transparência.</w:t>
            </w:r>
          </w:p>
        </w:tc>
      </w:tr>
      <w:tr w14:paraId="6E2F067E" w14:textId="77777777" w:rsidTr="001B2559">
        <w:tblPrEx>
          <w:tblW w:w="9639" w:type="dxa"/>
          <w:tblLook w:val="04A0"/>
        </w:tblPrEx>
        <w:trPr>
          <w:trHeight w:val="397"/>
        </w:trPr>
        <w:tc>
          <w:tcPr>
            <w:tcW w:w="1418" w:type="dxa"/>
            <w:hideMark/>
          </w:tcPr>
          <w:p w:rsidR="00EB7A3F" w:rsidRPr="00E232A6" w:rsidP="00AD3A84" w14:paraId="7B188E2C" w14:textId="4C6ED96F">
            <w:pPr>
              <w:ind w:left="-100"/>
              <w:contextualSpacing/>
              <w:jc w:val="both"/>
              <w:rPr>
                <w:sz w:val="24"/>
                <w:szCs w:val="24"/>
              </w:rPr>
            </w:pPr>
            <w:r w:rsidRPr="00E232A6">
              <w:rPr>
                <w:sz w:val="24"/>
                <w:szCs w:val="24"/>
              </w:rPr>
              <w:t>i-Amb</w:t>
            </w:r>
            <w:r w:rsidR="001B2559">
              <w:rPr>
                <w:sz w:val="24"/>
                <w:szCs w:val="24"/>
              </w:rPr>
              <w:t>iental</w:t>
            </w:r>
          </w:p>
        </w:tc>
        <w:tc>
          <w:tcPr>
            <w:tcW w:w="852" w:type="dxa"/>
            <w:hideMark/>
          </w:tcPr>
          <w:p w:rsidR="00EB7A3F" w:rsidRPr="00E232A6" w:rsidP="00AD3A84" w14:paraId="78133A79" w14:textId="77777777">
            <w:pPr>
              <w:ind w:left="-100" w:right="80"/>
              <w:contextualSpacing/>
              <w:jc w:val="center"/>
              <w:rPr>
                <w:sz w:val="24"/>
                <w:szCs w:val="24"/>
              </w:rPr>
            </w:pPr>
            <w:r w:rsidRPr="00E232A6">
              <w:rPr>
                <w:sz w:val="24"/>
                <w:szCs w:val="24"/>
              </w:rPr>
              <w:t>C+</w:t>
            </w:r>
          </w:p>
        </w:tc>
        <w:tc>
          <w:tcPr>
            <w:tcW w:w="851" w:type="dxa"/>
            <w:hideMark/>
          </w:tcPr>
          <w:p w:rsidR="00EB7A3F" w:rsidRPr="00E232A6" w:rsidP="00AD3A84" w14:paraId="14B723FA" w14:textId="77777777">
            <w:pPr>
              <w:ind w:left="-100" w:right="100"/>
              <w:contextualSpacing/>
              <w:jc w:val="center"/>
              <w:rPr>
                <w:sz w:val="24"/>
                <w:szCs w:val="24"/>
              </w:rPr>
            </w:pPr>
            <w:r w:rsidRPr="00E232A6">
              <w:rPr>
                <w:sz w:val="24"/>
                <w:szCs w:val="24"/>
              </w:rPr>
              <w:t>C+</w:t>
            </w:r>
          </w:p>
        </w:tc>
        <w:tc>
          <w:tcPr>
            <w:tcW w:w="851" w:type="dxa"/>
            <w:hideMark/>
          </w:tcPr>
          <w:p w:rsidR="00EB7A3F" w:rsidRPr="00E232A6" w:rsidP="00AD3A84" w14:paraId="50EBF693" w14:textId="77777777">
            <w:pPr>
              <w:ind w:left="-100" w:right="80"/>
              <w:contextualSpacing/>
              <w:jc w:val="center"/>
              <w:rPr>
                <w:sz w:val="24"/>
                <w:szCs w:val="24"/>
              </w:rPr>
            </w:pPr>
            <w:r w:rsidRPr="00E232A6">
              <w:rPr>
                <w:sz w:val="24"/>
                <w:szCs w:val="24"/>
              </w:rPr>
              <w:t>C+</w:t>
            </w:r>
          </w:p>
        </w:tc>
        <w:tc>
          <w:tcPr>
            <w:tcW w:w="5667" w:type="dxa"/>
            <w:hideMark/>
          </w:tcPr>
          <w:p w:rsidR="00EB7A3F" w:rsidRPr="00E232A6" w:rsidP="00AD3A84" w14:paraId="075F4D8E" w14:textId="77777777">
            <w:pPr>
              <w:spacing w:before="240"/>
              <w:ind w:left="-100"/>
              <w:contextualSpacing/>
              <w:jc w:val="both"/>
              <w:rPr>
                <w:sz w:val="24"/>
                <w:szCs w:val="24"/>
              </w:rPr>
            </w:pPr>
            <w:r w:rsidRPr="00E232A6">
              <w:rPr>
                <w:sz w:val="24"/>
                <w:szCs w:val="24"/>
              </w:rPr>
              <w:t>Contingenciamento, Infraestrutura, IQR, Plano Municipal de Saneamento Básico, Programa Ambiental, Resíduos Sólidos.</w:t>
            </w:r>
          </w:p>
        </w:tc>
      </w:tr>
      <w:tr w14:paraId="66F683CD" w14:textId="77777777" w:rsidTr="001B2559">
        <w:tblPrEx>
          <w:tblW w:w="9639" w:type="dxa"/>
          <w:tblLook w:val="04A0"/>
        </w:tblPrEx>
        <w:trPr>
          <w:trHeight w:val="397"/>
        </w:trPr>
        <w:tc>
          <w:tcPr>
            <w:tcW w:w="1418" w:type="dxa"/>
            <w:hideMark/>
          </w:tcPr>
          <w:p w:rsidR="00EB7A3F" w:rsidRPr="00E232A6" w:rsidP="00AD3A84" w14:paraId="1D18FBAC" w14:textId="77777777">
            <w:pPr>
              <w:ind w:left="-100"/>
              <w:contextualSpacing/>
              <w:jc w:val="both"/>
              <w:rPr>
                <w:sz w:val="24"/>
                <w:szCs w:val="24"/>
              </w:rPr>
            </w:pPr>
            <w:r w:rsidRPr="00E232A6">
              <w:rPr>
                <w:sz w:val="24"/>
                <w:szCs w:val="24"/>
              </w:rPr>
              <w:t>i-Cidade </w:t>
            </w:r>
          </w:p>
        </w:tc>
        <w:tc>
          <w:tcPr>
            <w:tcW w:w="852" w:type="dxa"/>
            <w:hideMark/>
          </w:tcPr>
          <w:p w:rsidR="00EB7A3F" w:rsidRPr="00E232A6" w:rsidP="00AD3A84" w14:paraId="627BBE8A"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404991CB"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616AF488" w14:textId="77777777">
            <w:pPr>
              <w:ind w:left="-100" w:right="80"/>
              <w:contextualSpacing/>
              <w:jc w:val="center"/>
              <w:rPr>
                <w:sz w:val="24"/>
                <w:szCs w:val="24"/>
              </w:rPr>
            </w:pPr>
            <w:r w:rsidRPr="00E232A6">
              <w:rPr>
                <w:sz w:val="24"/>
                <w:szCs w:val="24"/>
              </w:rPr>
              <w:t>B</w:t>
            </w:r>
          </w:p>
        </w:tc>
        <w:tc>
          <w:tcPr>
            <w:tcW w:w="5667" w:type="dxa"/>
            <w:hideMark/>
          </w:tcPr>
          <w:p w:rsidR="00EB7A3F" w:rsidRPr="00E232A6" w:rsidP="00AD3A84" w14:paraId="5F33F2CD" w14:textId="77777777">
            <w:pPr>
              <w:spacing w:before="240"/>
              <w:ind w:left="-100"/>
              <w:contextualSpacing/>
              <w:jc w:val="both"/>
              <w:rPr>
                <w:sz w:val="24"/>
                <w:szCs w:val="24"/>
              </w:rPr>
            </w:pPr>
            <w:r w:rsidRPr="00E232A6">
              <w:rPr>
                <w:sz w:val="24"/>
                <w:szCs w:val="24"/>
              </w:rPr>
              <w:t>Contingenciamento, Infraestrutura, Pessoal, Plano de Mobilidade Urbana, SIDEC (DEFESA CIVIL)</w:t>
            </w:r>
          </w:p>
        </w:tc>
      </w:tr>
      <w:tr w14:paraId="68913B80" w14:textId="77777777" w:rsidTr="001B2559">
        <w:tblPrEx>
          <w:tblW w:w="9639" w:type="dxa"/>
          <w:tblLook w:val="04A0"/>
        </w:tblPrEx>
        <w:trPr>
          <w:trHeight w:val="397"/>
        </w:trPr>
        <w:tc>
          <w:tcPr>
            <w:tcW w:w="1418" w:type="dxa"/>
            <w:hideMark/>
          </w:tcPr>
          <w:p w:rsidR="00EB7A3F" w:rsidRPr="00E232A6" w:rsidP="00AD3A84" w14:paraId="1A2B4DCE" w14:textId="77777777">
            <w:pPr>
              <w:ind w:left="-100"/>
              <w:contextualSpacing/>
              <w:jc w:val="both"/>
              <w:rPr>
                <w:sz w:val="24"/>
                <w:szCs w:val="24"/>
              </w:rPr>
            </w:pPr>
            <w:r w:rsidRPr="00E232A6">
              <w:rPr>
                <w:sz w:val="24"/>
                <w:szCs w:val="24"/>
              </w:rPr>
              <w:t>i-</w:t>
            </w:r>
            <w:r w:rsidRPr="00E232A6">
              <w:rPr>
                <w:sz w:val="24"/>
                <w:szCs w:val="24"/>
              </w:rPr>
              <w:t>Gov</w:t>
            </w:r>
            <w:r w:rsidRPr="00E232A6">
              <w:rPr>
                <w:sz w:val="24"/>
                <w:szCs w:val="24"/>
              </w:rPr>
              <w:t>-TI</w:t>
            </w:r>
          </w:p>
        </w:tc>
        <w:tc>
          <w:tcPr>
            <w:tcW w:w="852" w:type="dxa"/>
            <w:hideMark/>
          </w:tcPr>
          <w:p w:rsidR="00EB7A3F" w:rsidRPr="00E232A6" w:rsidP="00AD3A84" w14:paraId="0A5494C2"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69DB7D70" w14:textId="77777777">
            <w:pPr>
              <w:ind w:left="-100" w:right="80"/>
              <w:contextualSpacing/>
              <w:jc w:val="center"/>
              <w:rPr>
                <w:sz w:val="24"/>
                <w:szCs w:val="24"/>
              </w:rPr>
            </w:pPr>
            <w:r w:rsidRPr="00E232A6">
              <w:rPr>
                <w:sz w:val="24"/>
                <w:szCs w:val="24"/>
              </w:rPr>
              <w:t>B</w:t>
            </w:r>
          </w:p>
        </w:tc>
        <w:tc>
          <w:tcPr>
            <w:tcW w:w="851" w:type="dxa"/>
            <w:hideMark/>
          </w:tcPr>
          <w:p w:rsidR="00EB7A3F" w:rsidRPr="00E232A6" w:rsidP="00AD3A84" w14:paraId="24681CE9" w14:textId="77777777">
            <w:pPr>
              <w:ind w:left="-100" w:right="80"/>
              <w:contextualSpacing/>
              <w:jc w:val="center"/>
              <w:rPr>
                <w:sz w:val="24"/>
                <w:szCs w:val="24"/>
              </w:rPr>
            </w:pPr>
            <w:r w:rsidRPr="00E232A6">
              <w:rPr>
                <w:sz w:val="24"/>
                <w:szCs w:val="24"/>
              </w:rPr>
              <w:t>B</w:t>
            </w:r>
          </w:p>
        </w:tc>
        <w:tc>
          <w:tcPr>
            <w:tcW w:w="5667" w:type="dxa"/>
            <w:hideMark/>
          </w:tcPr>
          <w:p w:rsidR="00EB7A3F" w:rsidRPr="00E232A6" w:rsidP="00AD3A84" w14:paraId="4929EDB6" w14:textId="77777777">
            <w:pPr>
              <w:spacing w:before="240"/>
              <w:ind w:left="-100"/>
              <w:contextualSpacing/>
              <w:jc w:val="center"/>
              <w:rPr>
                <w:sz w:val="24"/>
                <w:szCs w:val="24"/>
              </w:rPr>
            </w:pPr>
            <w:r w:rsidRPr="00E232A6">
              <w:rPr>
                <w:sz w:val="24"/>
                <w:szCs w:val="24"/>
              </w:rPr>
              <w:t>Diretrizes de TI, Pessoal, Sistema AUDESP, Transparência.</w:t>
            </w:r>
          </w:p>
        </w:tc>
      </w:tr>
    </w:tbl>
    <w:p w:rsidR="00EB7A3F" w:rsidRPr="00E232A6" w:rsidP="00AD3A84" w14:paraId="26A49C48" w14:textId="126B9914">
      <w:pPr>
        <w:ind w:left="20"/>
        <w:contextualSpacing/>
        <w:jc w:val="both"/>
        <w:rPr>
          <w:sz w:val="22"/>
          <w:szCs w:val="22"/>
        </w:rPr>
      </w:pPr>
      <w:r w:rsidRPr="00E232A6">
        <w:rPr>
          <w:sz w:val="22"/>
          <w:szCs w:val="22"/>
        </w:rPr>
        <w:t>A - Altamente Efetiva / B+ - Muito Efetiva /   B     - Efetiva</w:t>
      </w:r>
      <w:r w:rsidRPr="00E232A6" w:rsidR="00441BB6">
        <w:rPr>
          <w:sz w:val="22"/>
          <w:szCs w:val="22"/>
        </w:rPr>
        <w:t xml:space="preserve"> </w:t>
      </w:r>
      <w:r w:rsidRPr="00E232A6">
        <w:rPr>
          <w:sz w:val="22"/>
          <w:szCs w:val="22"/>
        </w:rPr>
        <w:t>/   C+   - Em fase de adequação   /   C - Baixo nível de adequação</w:t>
      </w:r>
    </w:p>
    <w:p w:rsidR="00AF3628" w:rsidRPr="00E232A6" w:rsidP="00AD3A84" w14:paraId="5887FF3C" w14:textId="77777777">
      <w:pPr>
        <w:spacing w:after="240"/>
        <w:contextualSpacing/>
        <w:rPr>
          <w:sz w:val="26"/>
          <w:szCs w:val="26"/>
        </w:rPr>
      </w:pPr>
    </w:p>
    <w:p w:rsidR="00EB7A3F" w:rsidRPr="00E232A6" w:rsidP="00AD3A84" w14:paraId="33946748" w14:textId="35C5989B">
      <w:pPr>
        <w:spacing w:after="240"/>
        <w:contextualSpacing/>
        <w:rPr>
          <w:b/>
          <w:bCs/>
          <w:sz w:val="26"/>
          <w:szCs w:val="26"/>
          <w:u w:val="single"/>
        </w:rPr>
      </w:pPr>
      <w:r w:rsidRPr="00E232A6">
        <w:rPr>
          <w:sz w:val="26"/>
          <w:szCs w:val="26"/>
        </w:rPr>
        <w:br/>
      </w:r>
      <w:r w:rsidRPr="00E232A6">
        <w:rPr>
          <w:b/>
          <w:bCs/>
          <w:sz w:val="26"/>
          <w:szCs w:val="26"/>
          <w:u w:val="single"/>
        </w:rPr>
        <w:t xml:space="preserve">Principais Pontos Destacados Durante Fiscalização do Tribunal de </w:t>
      </w:r>
      <w:r w:rsidRPr="00E232A6" w:rsidR="00557897">
        <w:rPr>
          <w:b/>
          <w:bCs/>
          <w:sz w:val="26"/>
          <w:szCs w:val="26"/>
          <w:u w:val="single"/>
        </w:rPr>
        <w:t>Contas, exercício</w:t>
      </w:r>
      <w:r w:rsidRPr="00E232A6">
        <w:rPr>
          <w:b/>
          <w:bCs/>
          <w:sz w:val="26"/>
          <w:szCs w:val="26"/>
          <w:u w:val="single"/>
        </w:rPr>
        <w:t xml:space="preserve"> 2</w:t>
      </w:r>
      <w:r w:rsidRPr="00E232A6" w:rsidR="00557897">
        <w:rPr>
          <w:b/>
          <w:bCs/>
          <w:sz w:val="26"/>
          <w:szCs w:val="26"/>
          <w:u w:val="single"/>
        </w:rPr>
        <w:t>.</w:t>
      </w:r>
      <w:r w:rsidRPr="00E232A6">
        <w:rPr>
          <w:b/>
          <w:bCs/>
          <w:sz w:val="26"/>
          <w:szCs w:val="26"/>
          <w:u w:val="single"/>
        </w:rPr>
        <w:t>017</w:t>
      </w:r>
    </w:p>
    <w:p w:rsidR="007A4D83" w:rsidRPr="00E232A6" w:rsidP="00AD3A84" w14:paraId="787C390A" w14:textId="77777777">
      <w:pPr>
        <w:spacing w:after="240"/>
        <w:contextualSpacing/>
        <w:rPr>
          <w:b/>
          <w:bCs/>
          <w:sz w:val="26"/>
          <w:szCs w:val="26"/>
          <w:u w:val="single"/>
        </w:rPr>
      </w:pPr>
    </w:p>
    <w:p w:rsidR="00EB7A3F" w:rsidRPr="00E232A6" w:rsidP="00AD3A84" w14:paraId="5ABC7EA4" w14:textId="77777777">
      <w:pPr>
        <w:numPr>
          <w:ilvl w:val="0"/>
          <w:numId w:val="16"/>
        </w:numPr>
        <w:contextualSpacing/>
        <w:jc w:val="both"/>
        <w:textAlignment w:val="baseline"/>
        <w:rPr>
          <w:b/>
          <w:bCs/>
          <w:sz w:val="26"/>
          <w:szCs w:val="26"/>
        </w:rPr>
      </w:pPr>
      <w:r w:rsidRPr="00E232A6">
        <w:rPr>
          <w:b/>
          <w:bCs/>
          <w:sz w:val="26"/>
          <w:szCs w:val="26"/>
        </w:rPr>
        <w:t>Controle Interno  </w:t>
      </w:r>
    </w:p>
    <w:p w:rsidR="00EB7A3F" w:rsidRPr="00E232A6" w:rsidP="00AD3A84" w14:paraId="0C532D6D" w14:textId="73AFBC43">
      <w:pPr>
        <w:spacing w:before="240" w:after="240"/>
        <w:ind w:left="720"/>
        <w:contextualSpacing/>
        <w:jc w:val="both"/>
        <w:rPr>
          <w:sz w:val="26"/>
          <w:szCs w:val="26"/>
        </w:rPr>
      </w:pPr>
      <w:r w:rsidRPr="00E232A6">
        <w:rPr>
          <w:sz w:val="26"/>
          <w:szCs w:val="26"/>
        </w:rPr>
        <w:t xml:space="preserve">Não há lei regulando o controle interno. O Controle Interno foi desempenhado por servidor </w:t>
      </w:r>
      <w:r w:rsidRPr="00E232A6" w:rsidR="00A301AC">
        <w:rPr>
          <w:sz w:val="26"/>
          <w:szCs w:val="26"/>
        </w:rPr>
        <w:t>efetivo recebendo</w:t>
      </w:r>
      <w:r w:rsidRPr="00E232A6">
        <w:rPr>
          <w:sz w:val="26"/>
          <w:szCs w:val="26"/>
        </w:rPr>
        <w:t xml:space="preserve"> função gratificada. Em apontamento o Tribunal de Contas menciona prejuízo à essencial independência da função. O Tribunal também aponta, durante auditoria, que em 2018 o controlador foi destituído para </w:t>
      </w:r>
      <w:r w:rsidRPr="00E232A6">
        <w:rPr>
          <w:sz w:val="26"/>
          <w:szCs w:val="26"/>
        </w:rPr>
        <w:t>nomeação de outro funcionário, exatamente a falha que se deseja evitar com o provimento efetivo. A administração não tomou todas as providências exaradas pelo Controle Interno.</w:t>
      </w:r>
    </w:p>
    <w:p w:rsidR="007A4D83" w:rsidRPr="00E232A6" w:rsidP="00AD3A84" w14:paraId="37D65D49" w14:textId="5061C63F">
      <w:pPr>
        <w:spacing w:before="240" w:after="240"/>
        <w:ind w:left="720"/>
        <w:contextualSpacing/>
        <w:jc w:val="both"/>
        <w:rPr>
          <w:sz w:val="26"/>
          <w:szCs w:val="26"/>
        </w:rPr>
      </w:pPr>
    </w:p>
    <w:p w:rsidR="00EB7A3F" w:rsidRPr="00E232A6" w:rsidP="00AD3A84" w14:paraId="6DF1D3A1" w14:textId="77777777">
      <w:pPr>
        <w:numPr>
          <w:ilvl w:val="0"/>
          <w:numId w:val="17"/>
        </w:numPr>
        <w:contextualSpacing/>
        <w:jc w:val="both"/>
        <w:textAlignment w:val="baseline"/>
        <w:rPr>
          <w:b/>
          <w:bCs/>
          <w:sz w:val="26"/>
          <w:szCs w:val="26"/>
        </w:rPr>
      </w:pPr>
      <w:r w:rsidRPr="00E232A6">
        <w:rPr>
          <w:b/>
          <w:bCs/>
          <w:sz w:val="26"/>
          <w:szCs w:val="26"/>
        </w:rPr>
        <w:t>Educação</w:t>
      </w:r>
    </w:p>
    <w:p w:rsidR="00EB7A3F" w:rsidRPr="00E232A6" w:rsidP="00AD3A84" w14:paraId="4290E87B" w14:textId="3D5DB590">
      <w:pPr>
        <w:ind w:left="720"/>
        <w:contextualSpacing/>
        <w:jc w:val="both"/>
        <w:rPr>
          <w:sz w:val="26"/>
          <w:szCs w:val="26"/>
        </w:rPr>
      </w:pPr>
      <w:r w:rsidRPr="00E232A6">
        <w:rPr>
          <w:sz w:val="26"/>
          <w:szCs w:val="26"/>
        </w:rPr>
        <w:t>Dados gerais educação, Avaliação Escolar, Conselho Municipal de Educação, Infraestrutura, Material Escolar, Merenda, Mínimo Constitucional, Plano Municipal de Educação, Professor, Transporte Escolar, Uniforme, Vagas. Obtiveram nota C+, na avaliação do Tribunal de Contas significa em fase de adequação.</w:t>
      </w:r>
    </w:p>
    <w:p w:rsidR="005D24F4" w:rsidRPr="00E232A6" w:rsidP="00AD3A84" w14:paraId="252E39EC" w14:textId="77777777">
      <w:pPr>
        <w:contextualSpacing/>
        <w:rPr>
          <w:sz w:val="26"/>
          <w:szCs w:val="26"/>
        </w:rPr>
      </w:pPr>
    </w:p>
    <w:p w:rsidR="00EB7A3F" w:rsidRPr="00E232A6" w:rsidP="00AD3A84" w14:paraId="6F6A8B4D" w14:textId="77777777">
      <w:pPr>
        <w:numPr>
          <w:ilvl w:val="0"/>
          <w:numId w:val="18"/>
        </w:numPr>
        <w:contextualSpacing/>
        <w:jc w:val="both"/>
        <w:textAlignment w:val="baseline"/>
        <w:rPr>
          <w:b/>
          <w:bCs/>
          <w:sz w:val="26"/>
          <w:szCs w:val="26"/>
        </w:rPr>
      </w:pPr>
      <w:r w:rsidRPr="00E232A6">
        <w:rPr>
          <w:b/>
          <w:bCs/>
          <w:sz w:val="26"/>
          <w:szCs w:val="26"/>
        </w:rPr>
        <w:t>Saúde</w:t>
      </w:r>
    </w:p>
    <w:p w:rsidR="00EB7A3F" w:rsidRPr="00E232A6" w:rsidP="00AD3A84" w14:paraId="6C3EFD71" w14:textId="77777777">
      <w:pPr>
        <w:ind w:left="720"/>
        <w:contextualSpacing/>
        <w:jc w:val="both"/>
        <w:rPr>
          <w:sz w:val="26"/>
          <w:szCs w:val="26"/>
        </w:rPr>
      </w:pPr>
      <w:r w:rsidRPr="00E232A6">
        <w:rPr>
          <w:sz w:val="26"/>
          <w:szCs w:val="26"/>
        </w:rPr>
        <w:t>Atenção Básica, Atendimento à População, Campanha, Conselho Municipal de Saúde, Equipe de Saúde da Família, Infraestrutura, Mínimo Constitucional, Profissões da Saúde. Obtiveram nota B na avaliação do Tribunal de Contas que significa efetiva.</w:t>
      </w:r>
    </w:p>
    <w:p w:rsidR="00A301AC" w:rsidRPr="00E232A6" w:rsidP="00AD3A84" w14:paraId="69FE168F" w14:textId="77777777">
      <w:pPr>
        <w:contextualSpacing/>
        <w:rPr>
          <w:b/>
          <w:bCs/>
          <w:sz w:val="26"/>
          <w:szCs w:val="26"/>
        </w:rPr>
      </w:pPr>
    </w:p>
    <w:p w:rsidR="00EB7A3F" w:rsidRPr="00E232A6" w:rsidP="00AD3A84" w14:paraId="25DF3C42" w14:textId="742FD4A8">
      <w:pPr>
        <w:pStyle w:val="ListParagraph"/>
        <w:numPr>
          <w:ilvl w:val="0"/>
          <w:numId w:val="27"/>
        </w:numPr>
        <w:rPr>
          <w:b/>
          <w:bCs/>
          <w:sz w:val="26"/>
          <w:szCs w:val="26"/>
        </w:rPr>
      </w:pPr>
      <w:r w:rsidRPr="00E232A6">
        <w:rPr>
          <w:b/>
          <w:bCs/>
          <w:sz w:val="26"/>
          <w:szCs w:val="26"/>
        </w:rPr>
        <w:t>Planejamento</w:t>
      </w:r>
    </w:p>
    <w:p w:rsidR="00EB7A3F" w:rsidRPr="00E232A6" w:rsidP="00AD3A84" w14:paraId="2006A002" w14:textId="77777777">
      <w:pPr>
        <w:ind w:left="720"/>
        <w:contextualSpacing/>
        <w:jc w:val="both"/>
        <w:rPr>
          <w:sz w:val="26"/>
          <w:szCs w:val="26"/>
        </w:rPr>
      </w:pPr>
      <w:r w:rsidRPr="00E232A6">
        <w:rPr>
          <w:sz w:val="26"/>
          <w:szCs w:val="26"/>
        </w:rPr>
        <w:t>Investimento, Pessoal, Programas e Metas. Obtiveram nota C na avaliação do Tribunal de Contas que significa baixo nível de adequação.</w:t>
      </w:r>
    </w:p>
    <w:p w:rsidR="00EB7A3F" w:rsidRPr="00E232A6" w:rsidP="00AD3A84" w14:paraId="393530C3" w14:textId="22395994">
      <w:pPr>
        <w:contextualSpacing/>
        <w:rPr>
          <w:sz w:val="26"/>
          <w:szCs w:val="26"/>
        </w:rPr>
      </w:pPr>
    </w:p>
    <w:p w:rsidR="00EB7A3F" w:rsidRPr="00E232A6" w:rsidP="00AD3A84" w14:paraId="489C8D9E" w14:textId="04B5E320">
      <w:pPr>
        <w:numPr>
          <w:ilvl w:val="0"/>
          <w:numId w:val="20"/>
        </w:numPr>
        <w:contextualSpacing/>
        <w:jc w:val="both"/>
        <w:textAlignment w:val="baseline"/>
        <w:rPr>
          <w:b/>
          <w:bCs/>
          <w:sz w:val="26"/>
          <w:szCs w:val="26"/>
        </w:rPr>
      </w:pPr>
      <w:r w:rsidRPr="00E232A6">
        <w:rPr>
          <w:b/>
          <w:bCs/>
          <w:sz w:val="26"/>
          <w:szCs w:val="26"/>
        </w:rPr>
        <w:t>Fiscalização</w:t>
      </w:r>
    </w:p>
    <w:p w:rsidR="00EB7A3F" w:rsidRPr="00E232A6" w:rsidP="00AD3A84" w14:paraId="38F1CC01" w14:textId="77777777">
      <w:pPr>
        <w:ind w:left="720"/>
        <w:contextualSpacing/>
        <w:jc w:val="both"/>
        <w:rPr>
          <w:sz w:val="26"/>
          <w:szCs w:val="26"/>
        </w:rPr>
      </w:pPr>
      <w:r w:rsidRPr="00E232A6">
        <w:rPr>
          <w:sz w:val="26"/>
          <w:szCs w:val="26"/>
        </w:rPr>
        <w:t>Dívida Ativa, Dívida Fundada, Execução Orçamentária, Finanças, Gestão Fiscal, Precatórios, Transparência. Obtiveram nota B na avaliação do Tribunal de Contas que significa efetiva.</w:t>
      </w:r>
    </w:p>
    <w:p w:rsidR="00EB7A3F" w:rsidRPr="00E232A6" w:rsidP="00AD3A84" w14:paraId="2F2C0187" w14:textId="77854DBB">
      <w:pPr>
        <w:contextualSpacing/>
        <w:rPr>
          <w:sz w:val="26"/>
          <w:szCs w:val="26"/>
        </w:rPr>
      </w:pPr>
    </w:p>
    <w:p w:rsidR="00EB7A3F" w:rsidRPr="00E232A6" w:rsidP="00AD3A84" w14:paraId="4643769A" w14:textId="42B5D68E">
      <w:pPr>
        <w:numPr>
          <w:ilvl w:val="0"/>
          <w:numId w:val="21"/>
        </w:numPr>
        <w:contextualSpacing/>
        <w:jc w:val="both"/>
        <w:textAlignment w:val="baseline"/>
        <w:rPr>
          <w:b/>
          <w:bCs/>
          <w:sz w:val="26"/>
          <w:szCs w:val="26"/>
        </w:rPr>
      </w:pPr>
      <w:r w:rsidRPr="00E232A6">
        <w:rPr>
          <w:b/>
          <w:bCs/>
          <w:sz w:val="26"/>
          <w:szCs w:val="26"/>
        </w:rPr>
        <w:t>Amb</w:t>
      </w:r>
      <w:r w:rsidR="00DB1393">
        <w:rPr>
          <w:b/>
          <w:bCs/>
          <w:sz w:val="26"/>
          <w:szCs w:val="26"/>
        </w:rPr>
        <w:t xml:space="preserve"> (ambiental)</w:t>
      </w:r>
    </w:p>
    <w:p w:rsidR="00EB7A3F" w:rsidRPr="00E232A6" w:rsidP="00AD3A84" w14:paraId="50CEE06E" w14:textId="77777777">
      <w:pPr>
        <w:ind w:left="720"/>
        <w:contextualSpacing/>
        <w:jc w:val="both"/>
        <w:rPr>
          <w:sz w:val="26"/>
          <w:szCs w:val="26"/>
        </w:rPr>
      </w:pPr>
      <w:r w:rsidRPr="00E232A6">
        <w:rPr>
          <w:sz w:val="26"/>
          <w:szCs w:val="26"/>
        </w:rPr>
        <w:t>Contingenciamento, Infraestrutura, IQR, Plano Municipal de Saneamento Básico, Programa Ambiental, Resíduos Sólidos. Obtiveram nota C+ na avaliação do Tribunal de Contas que significa em fase de avaliação.</w:t>
      </w:r>
    </w:p>
    <w:p w:rsidR="00A301AC" w:rsidRPr="00E232A6" w:rsidP="00AD3A84" w14:paraId="031E02AE" w14:textId="77777777">
      <w:pPr>
        <w:contextualSpacing/>
        <w:rPr>
          <w:b/>
          <w:bCs/>
          <w:sz w:val="26"/>
          <w:szCs w:val="26"/>
        </w:rPr>
      </w:pPr>
    </w:p>
    <w:p w:rsidR="00EB7A3F" w:rsidRPr="00E232A6" w:rsidP="00AD3A84" w14:paraId="1F0B3674" w14:textId="0787E30C">
      <w:pPr>
        <w:pStyle w:val="ListParagraph"/>
        <w:numPr>
          <w:ilvl w:val="0"/>
          <w:numId w:val="27"/>
        </w:numPr>
        <w:rPr>
          <w:b/>
          <w:bCs/>
          <w:sz w:val="26"/>
          <w:szCs w:val="26"/>
        </w:rPr>
      </w:pPr>
      <w:r w:rsidRPr="00E232A6">
        <w:rPr>
          <w:b/>
          <w:bCs/>
          <w:sz w:val="26"/>
          <w:szCs w:val="26"/>
        </w:rPr>
        <w:t>Cidade</w:t>
      </w:r>
    </w:p>
    <w:p w:rsidR="00A301AC" w:rsidRPr="00E232A6" w:rsidP="00AD3A84" w14:paraId="4F51450D" w14:textId="77777777">
      <w:pPr>
        <w:ind w:left="720"/>
        <w:contextualSpacing/>
        <w:jc w:val="both"/>
        <w:rPr>
          <w:sz w:val="26"/>
          <w:szCs w:val="26"/>
        </w:rPr>
      </w:pPr>
      <w:r w:rsidRPr="00E232A6">
        <w:rPr>
          <w:sz w:val="26"/>
          <w:szCs w:val="26"/>
        </w:rPr>
        <w:t>Contingenciamento, Infraestrutura, Pessoal, Plano de Mobilidade Urbana, SIDEC (Defesa Civil). Obtiveram nota B na avaliação do Tribunal de Contas que significa efetiva.</w:t>
      </w:r>
    </w:p>
    <w:p w:rsidR="00AF3628" w:rsidRPr="00E232A6" w:rsidP="00AD3A84" w14:paraId="022A4E6C" w14:textId="77777777">
      <w:pPr>
        <w:contextualSpacing/>
        <w:jc w:val="both"/>
        <w:rPr>
          <w:sz w:val="26"/>
          <w:szCs w:val="26"/>
        </w:rPr>
      </w:pPr>
    </w:p>
    <w:p w:rsidR="00EB7A3F" w:rsidRPr="00E232A6" w:rsidP="00AD3A84" w14:paraId="7AFAA0D1" w14:textId="52AF29DE">
      <w:pPr>
        <w:pStyle w:val="ListParagraph"/>
        <w:numPr>
          <w:ilvl w:val="0"/>
          <w:numId w:val="27"/>
        </w:numPr>
        <w:jc w:val="both"/>
        <w:rPr>
          <w:sz w:val="26"/>
          <w:szCs w:val="26"/>
        </w:rPr>
      </w:pPr>
      <w:r w:rsidRPr="00E232A6">
        <w:rPr>
          <w:b/>
          <w:bCs/>
          <w:sz w:val="26"/>
          <w:szCs w:val="26"/>
        </w:rPr>
        <w:t>Diretrizes de TI</w:t>
      </w:r>
    </w:p>
    <w:p w:rsidR="00EB7A3F" w:rsidRPr="00E232A6" w:rsidP="00AD3A84" w14:paraId="05396DFF" w14:textId="70CFAA46">
      <w:pPr>
        <w:ind w:left="720"/>
        <w:contextualSpacing/>
        <w:jc w:val="both"/>
        <w:rPr>
          <w:sz w:val="26"/>
          <w:szCs w:val="26"/>
        </w:rPr>
      </w:pPr>
      <w:r w:rsidRPr="00E232A6">
        <w:rPr>
          <w:sz w:val="26"/>
          <w:szCs w:val="26"/>
        </w:rPr>
        <w:t>Diretrizes de TI, Pessoal, Sistema AUDESP, Transparência. Obtiveram nota B na avaliação do Tribunal de Contas que significa efetiva.</w:t>
      </w:r>
    </w:p>
    <w:p w:rsidR="008634BD" w:rsidP="00AD3A84" w14:paraId="69C43E0E" w14:textId="54F4EA24">
      <w:pPr>
        <w:ind w:left="720"/>
        <w:contextualSpacing/>
        <w:jc w:val="both"/>
        <w:rPr>
          <w:sz w:val="26"/>
          <w:szCs w:val="26"/>
        </w:rPr>
      </w:pPr>
    </w:p>
    <w:p w:rsidR="00DB1393" w:rsidP="00AD3A84" w14:paraId="52C737C6" w14:textId="3FB398D2">
      <w:pPr>
        <w:ind w:left="720"/>
        <w:contextualSpacing/>
        <w:jc w:val="both"/>
        <w:rPr>
          <w:sz w:val="26"/>
          <w:szCs w:val="26"/>
        </w:rPr>
      </w:pPr>
    </w:p>
    <w:p w:rsidR="00DB1393" w:rsidP="00AD3A84" w14:paraId="67FA8DB9" w14:textId="7123AE4B">
      <w:pPr>
        <w:ind w:left="720"/>
        <w:contextualSpacing/>
        <w:jc w:val="both"/>
        <w:rPr>
          <w:sz w:val="26"/>
          <w:szCs w:val="26"/>
        </w:rPr>
      </w:pPr>
    </w:p>
    <w:p w:rsidR="004024C0" w:rsidRPr="00E232A6" w:rsidP="00AD3A84" w14:paraId="00E26A89" w14:textId="77777777">
      <w:pPr>
        <w:ind w:left="720"/>
        <w:contextualSpacing/>
        <w:jc w:val="both"/>
        <w:rPr>
          <w:sz w:val="26"/>
          <w:szCs w:val="26"/>
        </w:rPr>
      </w:pPr>
    </w:p>
    <w:p w:rsidR="008634BD" w:rsidRPr="00E232A6" w:rsidP="00AD3A84" w14:paraId="5C022D1B" w14:textId="77777777">
      <w:pPr>
        <w:ind w:left="720"/>
        <w:contextualSpacing/>
        <w:jc w:val="both"/>
        <w:rPr>
          <w:sz w:val="26"/>
          <w:szCs w:val="26"/>
        </w:rPr>
      </w:pPr>
    </w:p>
    <w:p w:rsidR="008634BD" w:rsidRPr="00E232A6" w:rsidP="00AD3A84" w14:paraId="5FCD659C" w14:textId="76841697">
      <w:pPr>
        <w:spacing w:before="240" w:after="240"/>
        <w:contextualSpacing/>
        <w:jc w:val="both"/>
        <w:rPr>
          <w:b/>
          <w:bCs/>
          <w:sz w:val="26"/>
          <w:szCs w:val="26"/>
        </w:rPr>
      </w:pPr>
      <w:r w:rsidRPr="00E232A6">
        <w:rPr>
          <w:b/>
          <w:bCs/>
          <w:sz w:val="26"/>
          <w:szCs w:val="26"/>
          <w:u w:val="single"/>
        </w:rPr>
        <w:t>Da Conclusão</w:t>
      </w:r>
      <w:r w:rsidRPr="00E232A6">
        <w:rPr>
          <w:b/>
          <w:bCs/>
          <w:sz w:val="26"/>
          <w:szCs w:val="26"/>
        </w:rPr>
        <w:t> </w:t>
      </w:r>
    </w:p>
    <w:p w:rsidR="005D24F4" w:rsidRPr="00E232A6" w:rsidP="00AD3A84" w14:paraId="44639218" w14:textId="77777777">
      <w:pPr>
        <w:spacing w:before="240" w:after="240"/>
        <w:contextualSpacing/>
        <w:jc w:val="both"/>
        <w:rPr>
          <w:b/>
          <w:bCs/>
          <w:sz w:val="26"/>
          <w:szCs w:val="26"/>
        </w:rPr>
      </w:pPr>
    </w:p>
    <w:p w:rsidR="00EB7A3F" w:rsidRPr="00E232A6" w:rsidP="00AD3A84" w14:paraId="37656255" w14:textId="7B7A110E">
      <w:pPr>
        <w:spacing w:before="240" w:after="240"/>
        <w:contextualSpacing/>
        <w:jc w:val="both"/>
        <w:rPr>
          <w:sz w:val="26"/>
          <w:szCs w:val="26"/>
          <w:shd w:val="clear" w:color="auto" w:fill="FFFFFF"/>
        </w:rPr>
      </w:pPr>
      <w:r w:rsidRPr="00E232A6">
        <w:rPr>
          <w:sz w:val="26"/>
          <w:szCs w:val="26"/>
          <w:shd w:val="clear" w:color="auto" w:fill="FFFFFF"/>
        </w:rPr>
        <w:t xml:space="preserve">O Tribunal de Contas do Estado de São Paulo encaminhou à esta Casa Legislativa o </w:t>
      </w:r>
      <w:r w:rsidRPr="00E232A6">
        <w:rPr>
          <w:b/>
          <w:bCs/>
          <w:sz w:val="26"/>
          <w:szCs w:val="26"/>
          <w:shd w:val="clear" w:color="auto" w:fill="FFFFFF"/>
        </w:rPr>
        <w:t>Processo TC-006788.989.16-8</w:t>
      </w:r>
      <w:r w:rsidRPr="00E232A6">
        <w:rPr>
          <w:sz w:val="26"/>
          <w:szCs w:val="26"/>
          <w:shd w:val="clear" w:color="auto" w:fill="FFFFFF"/>
        </w:rPr>
        <w:t xml:space="preserve">, incluindo o </w:t>
      </w:r>
      <w:r w:rsidRPr="00E232A6">
        <w:rPr>
          <w:b/>
          <w:bCs/>
          <w:sz w:val="26"/>
          <w:szCs w:val="26"/>
          <w:shd w:val="clear" w:color="auto" w:fill="FFFFFF"/>
        </w:rPr>
        <w:t>reexame TC - 002317.989.19-3</w:t>
      </w:r>
      <w:r w:rsidRPr="00E232A6">
        <w:rPr>
          <w:sz w:val="26"/>
          <w:szCs w:val="26"/>
          <w:shd w:val="clear" w:color="auto" w:fill="FFFFFF"/>
        </w:rPr>
        <w:t xml:space="preserve">, referentes à </w:t>
      </w:r>
      <w:r w:rsidRPr="00E232A6">
        <w:rPr>
          <w:b/>
          <w:bCs/>
          <w:sz w:val="26"/>
          <w:szCs w:val="26"/>
          <w:shd w:val="clear" w:color="auto" w:fill="FFFFFF"/>
        </w:rPr>
        <w:t>Prestação de Contas da Prefeitura</w:t>
      </w:r>
      <w:r w:rsidRPr="00E232A6">
        <w:rPr>
          <w:sz w:val="26"/>
          <w:szCs w:val="26"/>
          <w:shd w:val="clear" w:color="auto" w:fill="FFFFFF"/>
        </w:rPr>
        <w:t xml:space="preserve"> </w:t>
      </w:r>
      <w:r w:rsidRPr="00E232A6">
        <w:rPr>
          <w:b/>
          <w:bCs/>
          <w:sz w:val="26"/>
          <w:szCs w:val="26"/>
          <w:shd w:val="clear" w:color="auto" w:fill="FFFFFF"/>
        </w:rPr>
        <w:t>Municipal de Mogi Mirim, referente ao exercício de 2017</w:t>
      </w:r>
      <w:r w:rsidRPr="00E232A6">
        <w:rPr>
          <w:sz w:val="26"/>
          <w:szCs w:val="26"/>
          <w:shd w:val="clear" w:color="auto" w:fill="FFFFFF"/>
        </w:rPr>
        <w:t>.</w:t>
      </w:r>
    </w:p>
    <w:p w:rsidR="00B17502" w:rsidRPr="00E232A6" w:rsidP="000C0DA8" w14:paraId="14ED44DE" w14:textId="77777777">
      <w:pPr>
        <w:rPr>
          <w:sz w:val="26"/>
          <w:szCs w:val="26"/>
        </w:rPr>
      </w:pPr>
    </w:p>
    <w:p w:rsidR="00EB7A3F" w:rsidRPr="00E232A6" w:rsidP="00AD3A84" w14:paraId="477A1BAA" w14:textId="70D6ED2D">
      <w:pPr>
        <w:spacing w:before="240" w:after="240"/>
        <w:contextualSpacing/>
        <w:jc w:val="both"/>
        <w:rPr>
          <w:sz w:val="26"/>
          <w:szCs w:val="26"/>
          <w:shd w:val="clear" w:color="auto" w:fill="FFFFFF"/>
        </w:rPr>
      </w:pPr>
      <w:r w:rsidRPr="00E232A6">
        <w:rPr>
          <w:sz w:val="26"/>
          <w:szCs w:val="26"/>
          <w:shd w:val="clear" w:color="auto" w:fill="FFFFFF"/>
        </w:rPr>
        <w:t xml:space="preserve">De acordo com o disposto no </w:t>
      </w:r>
      <w:r w:rsidR="00DB1393">
        <w:rPr>
          <w:sz w:val="26"/>
          <w:szCs w:val="26"/>
          <w:shd w:val="clear" w:color="auto" w:fill="FFFFFF"/>
        </w:rPr>
        <w:t>Art.</w:t>
      </w:r>
      <w:r w:rsidRPr="00E232A6">
        <w:rPr>
          <w:sz w:val="26"/>
          <w:szCs w:val="26"/>
          <w:shd w:val="clear" w:color="auto" w:fill="FFFFFF"/>
        </w:rPr>
        <w:t xml:space="preserve"> nº 59, seus respectivos parágrafos da LOMM - Lei Orgânica do Município de Mogi Mirim, e ao Artigo nº 29, 33, 37,54 do Regimento Interno vigente, cabe à Comissão de Finanças e Orçamento emitir parecer sobre a Prestação de </w:t>
      </w:r>
      <w:r w:rsidR="00DB1393">
        <w:rPr>
          <w:sz w:val="26"/>
          <w:szCs w:val="26"/>
          <w:shd w:val="clear" w:color="auto" w:fill="FFFFFF"/>
        </w:rPr>
        <w:t>C</w:t>
      </w:r>
      <w:r w:rsidRPr="00E232A6">
        <w:rPr>
          <w:sz w:val="26"/>
          <w:szCs w:val="26"/>
          <w:shd w:val="clear" w:color="auto" w:fill="FFFFFF"/>
        </w:rPr>
        <w:t>ontas do Executivo Municipal, neste caso, especificamente no exercício 2</w:t>
      </w:r>
      <w:r w:rsidR="0024114F">
        <w:rPr>
          <w:sz w:val="26"/>
          <w:szCs w:val="26"/>
          <w:shd w:val="clear" w:color="auto" w:fill="FFFFFF"/>
        </w:rPr>
        <w:t>.</w:t>
      </w:r>
      <w:r w:rsidRPr="00E232A6">
        <w:rPr>
          <w:sz w:val="26"/>
          <w:szCs w:val="26"/>
          <w:shd w:val="clear" w:color="auto" w:fill="FFFFFF"/>
        </w:rPr>
        <w:t>017.  Desta forma a prestação de contas esteve em poder da comissão pelo prazo regimental de 15 (quinze) dias, sendo a contagem iniciada no dia 05 de abril de 2</w:t>
      </w:r>
      <w:r w:rsidRPr="00E232A6" w:rsidR="009E61F7">
        <w:rPr>
          <w:sz w:val="26"/>
          <w:szCs w:val="26"/>
          <w:shd w:val="clear" w:color="auto" w:fill="FFFFFF"/>
        </w:rPr>
        <w:t>.</w:t>
      </w:r>
      <w:r w:rsidRPr="00E232A6">
        <w:rPr>
          <w:sz w:val="26"/>
          <w:szCs w:val="26"/>
          <w:shd w:val="clear" w:color="auto" w:fill="FFFFFF"/>
        </w:rPr>
        <w:t>021 findando-se no dia 20 de abril de 2</w:t>
      </w:r>
      <w:r w:rsidR="0024114F">
        <w:rPr>
          <w:sz w:val="26"/>
          <w:szCs w:val="26"/>
          <w:shd w:val="clear" w:color="auto" w:fill="FFFFFF"/>
        </w:rPr>
        <w:t>.</w:t>
      </w:r>
      <w:r w:rsidRPr="00E232A6">
        <w:rPr>
          <w:sz w:val="26"/>
          <w:szCs w:val="26"/>
          <w:shd w:val="clear" w:color="auto" w:fill="FFFFFF"/>
        </w:rPr>
        <w:t>021, quando esta comissão supracitada</w:t>
      </w:r>
      <w:r w:rsidR="0031099F">
        <w:rPr>
          <w:sz w:val="26"/>
          <w:szCs w:val="26"/>
          <w:shd w:val="clear" w:color="auto" w:fill="FFFFFF"/>
        </w:rPr>
        <w:t xml:space="preserve"> deve</w:t>
      </w:r>
      <w:r w:rsidRPr="00E232A6">
        <w:rPr>
          <w:sz w:val="26"/>
          <w:szCs w:val="26"/>
          <w:shd w:val="clear" w:color="auto" w:fill="FFFFFF"/>
        </w:rPr>
        <w:t xml:space="preserve"> exarar seu parecer sobre a matéria.</w:t>
      </w:r>
    </w:p>
    <w:p w:rsidR="00DC1654" w:rsidRPr="00E232A6" w:rsidP="00AD3A84" w14:paraId="2BBC4A83" w14:textId="77777777">
      <w:pPr>
        <w:spacing w:before="240" w:after="240"/>
        <w:contextualSpacing/>
        <w:jc w:val="both"/>
        <w:rPr>
          <w:sz w:val="26"/>
          <w:szCs w:val="26"/>
        </w:rPr>
      </w:pPr>
    </w:p>
    <w:p w:rsidR="005D24F4" w:rsidRPr="00E232A6" w:rsidP="00AD3A84" w14:paraId="061BB350" w14:textId="5634272F">
      <w:pPr>
        <w:spacing w:before="240" w:after="240"/>
        <w:contextualSpacing/>
        <w:jc w:val="both"/>
        <w:rPr>
          <w:sz w:val="26"/>
          <w:szCs w:val="26"/>
          <w:shd w:val="clear" w:color="auto" w:fill="FFFFFF"/>
        </w:rPr>
      </w:pPr>
      <w:r w:rsidRPr="00E232A6">
        <w:rPr>
          <w:sz w:val="26"/>
          <w:szCs w:val="26"/>
          <w:shd w:val="clear" w:color="auto" w:fill="FFFFFF"/>
        </w:rPr>
        <w:t>Em análise ao parecer, a comissão constatou que os técnicos do Tribunal de Contas apontaram inconsistências de informações, algumas faltas consideradas dentro da normalidade e algumas que impactaram nas contas da Prefeitura Municipal de Mogi Mirim, sendo que, em Primeira Instância</w:t>
      </w:r>
      <w:r w:rsidRPr="00E232A6" w:rsidR="009E61F7">
        <w:rPr>
          <w:sz w:val="26"/>
          <w:szCs w:val="26"/>
          <w:shd w:val="clear" w:color="auto" w:fill="FFFFFF"/>
        </w:rPr>
        <w:t>,</w:t>
      </w:r>
      <w:r w:rsidRPr="00E232A6">
        <w:rPr>
          <w:sz w:val="26"/>
          <w:szCs w:val="26"/>
          <w:shd w:val="clear" w:color="auto" w:fill="FFFFFF"/>
        </w:rPr>
        <w:t xml:space="preserve"> o Tribunal de Contas emitiu </w:t>
      </w:r>
      <w:r w:rsidRPr="00E232A6" w:rsidR="006E5DBF">
        <w:rPr>
          <w:sz w:val="26"/>
          <w:szCs w:val="26"/>
          <w:shd w:val="clear" w:color="auto" w:fill="FFFFFF"/>
        </w:rPr>
        <w:t>parecer que</w:t>
      </w:r>
      <w:r w:rsidRPr="00E232A6">
        <w:rPr>
          <w:sz w:val="26"/>
          <w:szCs w:val="26"/>
          <w:shd w:val="clear" w:color="auto" w:fill="FFFFFF"/>
        </w:rPr>
        <w:t xml:space="preserve"> </w:t>
      </w:r>
      <w:r w:rsidRPr="00E232A6">
        <w:rPr>
          <w:b/>
          <w:bCs/>
          <w:sz w:val="26"/>
          <w:szCs w:val="26"/>
          <w:shd w:val="clear" w:color="auto" w:fill="FFFFFF"/>
        </w:rPr>
        <w:t>DESAPROVOU</w:t>
      </w:r>
      <w:r w:rsidRPr="00E232A6">
        <w:rPr>
          <w:sz w:val="26"/>
          <w:szCs w:val="26"/>
          <w:shd w:val="clear" w:color="auto" w:fill="FFFFFF"/>
        </w:rPr>
        <w:t> as contas do Município de Mogi Mirim do exercício de 2</w:t>
      </w:r>
      <w:r w:rsidRPr="00E232A6" w:rsidR="009E61F7">
        <w:rPr>
          <w:sz w:val="26"/>
          <w:szCs w:val="26"/>
          <w:shd w:val="clear" w:color="auto" w:fill="FFFFFF"/>
        </w:rPr>
        <w:t>.</w:t>
      </w:r>
      <w:r w:rsidRPr="00E232A6">
        <w:rPr>
          <w:sz w:val="26"/>
          <w:szCs w:val="26"/>
          <w:shd w:val="clear" w:color="auto" w:fill="FFFFFF"/>
        </w:rPr>
        <w:t>017</w:t>
      </w:r>
      <w:r w:rsidRPr="00E232A6" w:rsidR="00DC1654">
        <w:rPr>
          <w:sz w:val="26"/>
          <w:szCs w:val="26"/>
          <w:shd w:val="clear" w:color="auto" w:fill="FFFFFF"/>
        </w:rPr>
        <w:t>.</w:t>
      </w:r>
    </w:p>
    <w:p w:rsidR="00EB7A3F" w:rsidRPr="00E232A6" w:rsidP="00AD3A84" w14:paraId="328418DB" w14:textId="718353D6">
      <w:pPr>
        <w:spacing w:before="240" w:after="240"/>
        <w:contextualSpacing/>
        <w:jc w:val="both"/>
        <w:rPr>
          <w:sz w:val="26"/>
          <w:szCs w:val="26"/>
        </w:rPr>
      </w:pPr>
    </w:p>
    <w:p w:rsidR="00EB7A3F" w:rsidRPr="00E232A6" w:rsidP="00AD3A84" w14:paraId="10BA6A12" w14:textId="6FBAAF98">
      <w:pPr>
        <w:spacing w:before="240" w:after="240"/>
        <w:contextualSpacing/>
        <w:jc w:val="both"/>
        <w:rPr>
          <w:sz w:val="26"/>
          <w:szCs w:val="26"/>
          <w:shd w:val="clear" w:color="auto" w:fill="FFFFFF"/>
        </w:rPr>
      </w:pPr>
      <w:r w:rsidRPr="00E232A6">
        <w:rPr>
          <w:sz w:val="26"/>
          <w:szCs w:val="26"/>
          <w:shd w:val="clear" w:color="auto" w:fill="FFFFFF"/>
        </w:rPr>
        <w:t xml:space="preserve">Foi interposto pela Prefeitura Municipal de Mogi Mirim, através de seus advogados, pedido de </w:t>
      </w:r>
      <w:r w:rsidRPr="00E232A6">
        <w:rPr>
          <w:b/>
          <w:bCs/>
          <w:sz w:val="26"/>
          <w:szCs w:val="26"/>
          <w:shd w:val="clear" w:color="auto" w:fill="FFFFFF"/>
        </w:rPr>
        <w:t>REEXAME</w:t>
      </w:r>
      <w:r w:rsidRPr="00E232A6">
        <w:rPr>
          <w:sz w:val="26"/>
          <w:szCs w:val="26"/>
          <w:shd w:val="clear" w:color="auto" w:fill="FFFFFF"/>
        </w:rPr>
        <w:t>, em face do parecer exarado pelo Tribunal de Contas no exercício 2</w:t>
      </w:r>
      <w:r w:rsidRPr="00E232A6" w:rsidR="009E61F7">
        <w:rPr>
          <w:sz w:val="26"/>
          <w:szCs w:val="26"/>
          <w:shd w:val="clear" w:color="auto" w:fill="FFFFFF"/>
        </w:rPr>
        <w:t>.</w:t>
      </w:r>
      <w:r w:rsidRPr="00E232A6">
        <w:rPr>
          <w:sz w:val="26"/>
          <w:szCs w:val="26"/>
          <w:shd w:val="clear" w:color="auto" w:fill="FFFFFF"/>
        </w:rPr>
        <w:t>017.</w:t>
      </w:r>
    </w:p>
    <w:p w:rsidR="005D24F4" w:rsidRPr="00E232A6" w:rsidP="00AD3A84" w14:paraId="67EF4883" w14:textId="77777777">
      <w:pPr>
        <w:spacing w:before="240" w:after="240"/>
        <w:contextualSpacing/>
        <w:jc w:val="both"/>
        <w:rPr>
          <w:sz w:val="26"/>
          <w:szCs w:val="26"/>
        </w:rPr>
      </w:pPr>
    </w:p>
    <w:p w:rsidR="00EB7A3F" w:rsidRPr="00E232A6" w:rsidP="00AD3A84" w14:paraId="5A83E637" w14:textId="61BDB1D0">
      <w:pPr>
        <w:spacing w:before="240" w:after="240"/>
        <w:contextualSpacing/>
        <w:jc w:val="both"/>
        <w:rPr>
          <w:sz w:val="26"/>
          <w:szCs w:val="26"/>
          <w:shd w:val="clear" w:color="auto" w:fill="FFFFFF"/>
        </w:rPr>
      </w:pPr>
      <w:r w:rsidRPr="00E232A6">
        <w:rPr>
          <w:sz w:val="26"/>
          <w:szCs w:val="26"/>
          <w:shd w:val="clear" w:color="auto" w:fill="FFFFFF"/>
        </w:rPr>
        <w:t>Em defesa de seus atos</w:t>
      </w:r>
      <w:r w:rsidRPr="00E232A6" w:rsidR="009E61F7">
        <w:rPr>
          <w:sz w:val="26"/>
          <w:szCs w:val="26"/>
          <w:shd w:val="clear" w:color="auto" w:fill="FFFFFF"/>
        </w:rPr>
        <w:t xml:space="preserve">, </w:t>
      </w:r>
      <w:r w:rsidRPr="00E232A6">
        <w:rPr>
          <w:sz w:val="26"/>
          <w:szCs w:val="26"/>
          <w:shd w:val="clear" w:color="auto" w:fill="FFFFFF"/>
        </w:rPr>
        <w:t xml:space="preserve"> a Municipalidade demonstrou a situação de atipicidade encontrada pela nova  administração, iniciada em 1º de janeiro de 2</w:t>
      </w:r>
      <w:r w:rsidRPr="00E232A6" w:rsidR="009E61F7">
        <w:rPr>
          <w:sz w:val="26"/>
          <w:szCs w:val="26"/>
          <w:shd w:val="clear" w:color="auto" w:fill="FFFFFF"/>
        </w:rPr>
        <w:t>.</w:t>
      </w:r>
      <w:r w:rsidRPr="00E232A6">
        <w:rPr>
          <w:sz w:val="26"/>
          <w:szCs w:val="26"/>
          <w:shd w:val="clear" w:color="auto" w:fill="FFFFFF"/>
        </w:rPr>
        <w:t>017 que se deparou com um verdadeiro “caos”</w:t>
      </w:r>
      <w:r w:rsidRPr="00E232A6" w:rsidR="009E61F7">
        <w:rPr>
          <w:sz w:val="26"/>
          <w:szCs w:val="26"/>
          <w:shd w:val="clear" w:color="auto" w:fill="FFFFFF"/>
        </w:rPr>
        <w:t xml:space="preserve"> orçamentário</w:t>
      </w:r>
      <w:r w:rsidRPr="00E232A6">
        <w:rPr>
          <w:sz w:val="26"/>
          <w:szCs w:val="26"/>
          <w:shd w:val="clear" w:color="auto" w:fill="FFFFFF"/>
        </w:rPr>
        <w:t>, conforme descrição da equipe nomeada pelo Prefeito Arquiteto Carlos Nelson Bueno, sendo que a administração anterior, cujo mandato encerrou-se em dezembro de 2</w:t>
      </w:r>
      <w:r w:rsidRPr="00E232A6" w:rsidR="00A361AF">
        <w:rPr>
          <w:sz w:val="26"/>
          <w:szCs w:val="26"/>
          <w:shd w:val="clear" w:color="auto" w:fill="FFFFFF"/>
        </w:rPr>
        <w:t>.</w:t>
      </w:r>
      <w:r w:rsidRPr="00E232A6">
        <w:rPr>
          <w:sz w:val="26"/>
          <w:szCs w:val="26"/>
          <w:shd w:val="clear" w:color="auto" w:fill="FFFFFF"/>
        </w:rPr>
        <w:t>016 do ex-Prefeito Luís Gustavo Antunes Stupp</w:t>
      </w:r>
      <w:r w:rsidRPr="00E232A6" w:rsidR="00A361AF">
        <w:rPr>
          <w:sz w:val="26"/>
          <w:szCs w:val="26"/>
          <w:shd w:val="clear" w:color="auto" w:fill="FFFFFF"/>
        </w:rPr>
        <w:t>,</w:t>
      </w:r>
      <w:r w:rsidRPr="00E232A6">
        <w:rPr>
          <w:sz w:val="26"/>
          <w:szCs w:val="26"/>
          <w:shd w:val="clear" w:color="auto" w:fill="FFFFFF"/>
        </w:rPr>
        <w:t xml:space="preserve"> não havia cumprido com prazos e havia deixado muitas pendências incluindo pagamento à fornecedores em seu último ano de mandato</w:t>
      </w:r>
      <w:r w:rsidRPr="00E232A6" w:rsidR="00A361AF">
        <w:rPr>
          <w:sz w:val="26"/>
          <w:szCs w:val="26"/>
          <w:shd w:val="clear" w:color="auto" w:fill="FFFFFF"/>
        </w:rPr>
        <w:t>.</w:t>
      </w:r>
    </w:p>
    <w:p w:rsidR="005D24F4" w:rsidRPr="00E232A6" w:rsidP="00AD3A84" w14:paraId="455B6BCD" w14:textId="77777777">
      <w:pPr>
        <w:spacing w:before="240" w:after="240"/>
        <w:contextualSpacing/>
        <w:jc w:val="both"/>
        <w:rPr>
          <w:sz w:val="26"/>
          <w:szCs w:val="26"/>
        </w:rPr>
      </w:pPr>
    </w:p>
    <w:p w:rsidR="00EB7A3F" w:rsidRPr="00E232A6" w:rsidP="00AD3A84" w14:paraId="1123B63B" w14:textId="5F437F3F">
      <w:pPr>
        <w:spacing w:before="240" w:after="240"/>
        <w:contextualSpacing/>
        <w:jc w:val="both"/>
        <w:rPr>
          <w:sz w:val="26"/>
          <w:szCs w:val="26"/>
          <w:shd w:val="clear" w:color="auto" w:fill="FFFFFF"/>
        </w:rPr>
      </w:pPr>
      <w:r w:rsidRPr="00E232A6">
        <w:rPr>
          <w:sz w:val="26"/>
          <w:szCs w:val="26"/>
          <w:shd w:val="clear" w:color="auto" w:fill="FFFFFF"/>
        </w:rPr>
        <w:t xml:space="preserve">Conforme documentos comprobatórios, que foram enviados ao Tribunal de Contas para ciência, o ex-Prefeito Arquiteto Carlos Nelson Bueno, representado pela sua equipe de Secretários Municipais buscou através de Portarias e Decretos realizar negociações com fornecedores que, comprovadamente, haviam realizado às suas respectivas entregas de materiais e insumos para esta </w:t>
      </w:r>
      <w:r w:rsidRPr="00E232A6" w:rsidR="008F75FA">
        <w:rPr>
          <w:sz w:val="26"/>
          <w:szCs w:val="26"/>
          <w:shd w:val="clear" w:color="auto" w:fill="FFFFFF"/>
        </w:rPr>
        <w:t>m</w:t>
      </w:r>
      <w:r w:rsidRPr="00E232A6">
        <w:rPr>
          <w:sz w:val="26"/>
          <w:szCs w:val="26"/>
          <w:shd w:val="clear" w:color="auto" w:fill="FFFFFF"/>
        </w:rPr>
        <w:t>unicipalidade, porém</w:t>
      </w:r>
      <w:r w:rsidRPr="00E232A6" w:rsidR="008F75FA">
        <w:rPr>
          <w:sz w:val="26"/>
          <w:szCs w:val="26"/>
          <w:shd w:val="clear" w:color="auto" w:fill="FFFFFF"/>
        </w:rPr>
        <w:t>,</w:t>
      </w:r>
      <w:r w:rsidRPr="00E232A6">
        <w:rPr>
          <w:sz w:val="26"/>
          <w:szCs w:val="26"/>
          <w:shd w:val="clear" w:color="auto" w:fill="FFFFFF"/>
        </w:rPr>
        <w:t xml:space="preserve"> não receberam</w:t>
      </w:r>
      <w:r w:rsidRPr="00E232A6" w:rsidR="008430EA">
        <w:rPr>
          <w:sz w:val="26"/>
          <w:szCs w:val="26"/>
          <w:shd w:val="clear" w:color="auto" w:fill="FFFFFF"/>
        </w:rPr>
        <w:t>,</w:t>
      </w:r>
      <w:r w:rsidRPr="00E232A6">
        <w:rPr>
          <w:sz w:val="26"/>
          <w:szCs w:val="26"/>
          <w:shd w:val="clear" w:color="auto" w:fill="FFFFFF"/>
        </w:rPr>
        <w:t xml:space="preserve"> e cabe aqui informar,  havia também dívida com a Seguridade Social, INSS e a Autarquia  SAAE - Serviços </w:t>
      </w:r>
      <w:r w:rsidRPr="00E232A6" w:rsidR="008430EA">
        <w:rPr>
          <w:sz w:val="26"/>
          <w:szCs w:val="26"/>
          <w:shd w:val="clear" w:color="auto" w:fill="FFFFFF"/>
        </w:rPr>
        <w:t xml:space="preserve">Autônomo </w:t>
      </w:r>
      <w:r w:rsidRPr="00E232A6">
        <w:rPr>
          <w:sz w:val="26"/>
          <w:szCs w:val="26"/>
          <w:shd w:val="clear" w:color="auto" w:fill="FFFFFF"/>
        </w:rPr>
        <w:t>de Água e Esgotos de Mogi Mirim.</w:t>
      </w:r>
    </w:p>
    <w:p w:rsidR="005D24F4" w:rsidRPr="00E232A6" w:rsidP="00AD3A84" w14:paraId="3B7583AE" w14:textId="77777777">
      <w:pPr>
        <w:spacing w:before="240" w:after="240"/>
        <w:contextualSpacing/>
        <w:jc w:val="both"/>
        <w:rPr>
          <w:sz w:val="26"/>
          <w:szCs w:val="26"/>
        </w:rPr>
      </w:pPr>
    </w:p>
    <w:p w:rsidR="00EB7A3F" w:rsidRPr="00E232A6" w:rsidP="00AD3A84" w14:paraId="2212BEA4" w14:textId="2649845A">
      <w:pPr>
        <w:spacing w:before="240" w:after="240"/>
        <w:contextualSpacing/>
        <w:jc w:val="both"/>
        <w:rPr>
          <w:sz w:val="26"/>
          <w:szCs w:val="26"/>
          <w:shd w:val="clear" w:color="auto" w:fill="FFFFFF"/>
        </w:rPr>
      </w:pPr>
      <w:r w:rsidRPr="00E232A6">
        <w:rPr>
          <w:sz w:val="26"/>
          <w:szCs w:val="26"/>
          <w:shd w:val="clear" w:color="auto" w:fill="FFFFFF"/>
        </w:rPr>
        <w:t xml:space="preserve">A Comissão de Finanças e Orçamento tomou o cuidado de realizar diligências com ex-secretários do período em questão e servidores municipais com a finalidade de instruir </w:t>
      </w:r>
      <w:r w:rsidRPr="00E232A6">
        <w:rPr>
          <w:sz w:val="26"/>
          <w:szCs w:val="26"/>
          <w:shd w:val="clear" w:color="auto" w:fill="FFFFFF"/>
        </w:rPr>
        <w:t>os autos do Processo nº 15/2021, assunto: Prestação de Contas da Prefeitura Municipal de Mogi Mirim referente ao exercício de 2017. São eles:</w:t>
      </w:r>
    </w:p>
    <w:p w:rsidR="005D24F4" w:rsidRPr="00E232A6" w:rsidP="00AD3A84" w14:paraId="6D6737E0" w14:textId="77777777">
      <w:pPr>
        <w:spacing w:before="240" w:after="240"/>
        <w:contextualSpacing/>
        <w:jc w:val="both"/>
        <w:rPr>
          <w:sz w:val="26"/>
          <w:szCs w:val="26"/>
        </w:rPr>
      </w:pPr>
    </w:p>
    <w:p w:rsidR="00EB7A3F" w:rsidRPr="00E232A6" w:rsidP="00AD3A84" w14:paraId="44285ED0" w14:textId="654D9487">
      <w:pPr>
        <w:numPr>
          <w:ilvl w:val="0"/>
          <w:numId w:val="24"/>
        </w:numPr>
        <w:spacing w:before="240"/>
        <w:contextualSpacing/>
        <w:jc w:val="both"/>
        <w:textAlignment w:val="baseline"/>
        <w:rPr>
          <w:sz w:val="26"/>
          <w:szCs w:val="26"/>
        </w:rPr>
      </w:pPr>
      <w:r w:rsidRPr="00E232A6">
        <w:rPr>
          <w:sz w:val="26"/>
          <w:szCs w:val="26"/>
        </w:rPr>
        <w:t>Sra. Leonara Mariano Ferreira, servidora de carreira, contadora na Secretaria Municipal de Finanças, cuja oitiva foi realizada no dia 13/04/2021 presencialmente, na sala de reuniões da Câmara Municipal de Mogi Mirim às 14h</w:t>
      </w:r>
      <w:r w:rsidRPr="00E232A6" w:rsidR="008430EA">
        <w:rPr>
          <w:sz w:val="26"/>
          <w:szCs w:val="26"/>
        </w:rPr>
        <w:t>00</w:t>
      </w:r>
      <w:r w:rsidRPr="00E232A6">
        <w:rPr>
          <w:sz w:val="26"/>
          <w:szCs w:val="26"/>
        </w:rPr>
        <w:t>.   </w:t>
      </w:r>
    </w:p>
    <w:p w:rsidR="00EB7A3F" w:rsidRPr="00E232A6" w:rsidP="00AD3A84" w14:paraId="5BCA251B" w14:textId="308A8E29">
      <w:pPr>
        <w:numPr>
          <w:ilvl w:val="0"/>
          <w:numId w:val="24"/>
        </w:numPr>
        <w:contextualSpacing/>
        <w:jc w:val="both"/>
        <w:textAlignment w:val="baseline"/>
        <w:rPr>
          <w:sz w:val="26"/>
          <w:szCs w:val="26"/>
        </w:rPr>
      </w:pPr>
      <w:r w:rsidRPr="00E232A6">
        <w:rPr>
          <w:sz w:val="26"/>
          <w:szCs w:val="26"/>
        </w:rPr>
        <w:t xml:space="preserve">Sra. Dra. Adriana Tavares de Oliveira Penha, </w:t>
      </w:r>
      <w:r w:rsidRPr="00E232A6">
        <w:rPr>
          <w:sz w:val="26"/>
          <w:szCs w:val="26"/>
        </w:rPr>
        <w:t>ex</w:t>
      </w:r>
      <w:r w:rsidRPr="00E232A6">
        <w:rPr>
          <w:sz w:val="26"/>
          <w:szCs w:val="26"/>
        </w:rPr>
        <w:t>- Secretária de Negócios Jurídicos da Prefeitura Municipal de Mogi Mirim, pelo período de 2</w:t>
      </w:r>
      <w:r w:rsidRPr="00E232A6" w:rsidR="008430EA">
        <w:rPr>
          <w:sz w:val="26"/>
          <w:szCs w:val="26"/>
        </w:rPr>
        <w:t>.018</w:t>
      </w:r>
      <w:r w:rsidRPr="00E232A6">
        <w:rPr>
          <w:sz w:val="26"/>
          <w:szCs w:val="26"/>
        </w:rPr>
        <w:t>-2</w:t>
      </w:r>
      <w:r w:rsidRPr="00E232A6" w:rsidR="008430EA">
        <w:rPr>
          <w:sz w:val="26"/>
          <w:szCs w:val="26"/>
        </w:rPr>
        <w:t>.</w:t>
      </w:r>
      <w:r w:rsidRPr="00E232A6">
        <w:rPr>
          <w:sz w:val="26"/>
          <w:szCs w:val="26"/>
        </w:rPr>
        <w:t>020, responsável pela defesa jurídica da Prefeitura - oitiva realizada no dia 13/04/2021 de forma remota;</w:t>
      </w:r>
    </w:p>
    <w:p w:rsidR="00EB7A3F" w:rsidRPr="00E232A6" w:rsidP="00AD3A84" w14:paraId="74FE6AF3" w14:textId="1E76042A">
      <w:pPr>
        <w:numPr>
          <w:ilvl w:val="0"/>
          <w:numId w:val="24"/>
        </w:numPr>
        <w:contextualSpacing/>
        <w:jc w:val="both"/>
        <w:textAlignment w:val="baseline"/>
        <w:rPr>
          <w:sz w:val="26"/>
          <w:szCs w:val="26"/>
        </w:rPr>
      </w:pPr>
      <w:r w:rsidRPr="00E232A6">
        <w:rPr>
          <w:sz w:val="26"/>
          <w:szCs w:val="26"/>
        </w:rPr>
        <w:t>Sr.  Ms. Roberto de Oliveira Junior, contador, professor e ex-Secretário Financeiro da Prefeitura Municipal de Mogi Mirim, pelo período de 2</w:t>
      </w:r>
      <w:r w:rsidRPr="00E232A6" w:rsidR="00685B25">
        <w:rPr>
          <w:sz w:val="26"/>
          <w:szCs w:val="26"/>
        </w:rPr>
        <w:t>.</w:t>
      </w:r>
      <w:r w:rsidRPr="00E232A6">
        <w:rPr>
          <w:sz w:val="26"/>
          <w:szCs w:val="26"/>
        </w:rPr>
        <w:t>017-2</w:t>
      </w:r>
      <w:r w:rsidRPr="00E232A6" w:rsidR="00685B25">
        <w:rPr>
          <w:sz w:val="26"/>
          <w:szCs w:val="26"/>
        </w:rPr>
        <w:t>.</w:t>
      </w:r>
      <w:r w:rsidRPr="00E232A6">
        <w:rPr>
          <w:sz w:val="26"/>
          <w:szCs w:val="26"/>
        </w:rPr>
        <w:t>018 - oitiva realizada em 13/04/2021 de forma remota.</w:t>
      </w:r>
    </w:p>
    <w:p w:rsidR="00EB7A3F" w:rsidRPr="00E232A6" w:rsidP="00AD3A84" w14:paraId="5F59ECED" w14:textId="2BD77BA5">
      <w:pPr>
        <w:numPr>
          <w:ilvl w:val="0"/>
          <w:numId w:val="24"/>
        </w:numPr>
        <w:spacing w:after="240"/>
        <w:contextualSpacing/>
        <w:jc w:val="both"/>
        <w:textAlignment w:val="baseline"/>
        <w:rPr>
          <w:sz w:val="26"/>
          <w:szCs w:val="26"/>
        </w:rPr>
      </w:pPr>
      <w:r w:rsidRPr="00E232A6">
        <w:rPr>
          <w:sz w:val="26"/>
          <w:szCs w:val="26"/>
        </w:rPr>
        <w:t>Sr.  Ms. Oliveira Pereira da Costa, auditor interno, contador e ex-Secretário Financeiro da Prefeitura Municipal de Mogi Mirim, pelo período de 2018-2020 - oitiva realizada em 14/04/2021 de forma presencial</w:t>
      </w:r>
      <w:r w:rsidRPr="00E232A6" w:rsidR="00685B25">
        <w:rPr>
          <w:sz w:val="26"/>
          <w:szCs w:val="26"/>
        </w:rPr>
        <w:t xml:space="preserve"> às 14h00</w:t>
      </w:r>
      <w:r w:rsidRPr="00E232A6">
        <w:rPr>
          <w:sz w:val="26"/>
          <w:szCs w:val="26"/>
        </w:rPr>
        <w:t>.</w:t>
      </w:r>
    </w:p>
    <w:p w:rsidR="005D24F4" w:rsidRPr="00E232A6" w:rsidP="005D24F4" w14:paraId="04AF38BE" w14:textId="77777777">
      <w:pPr>
        <w:spacing w:after="240"/>
        <w:ind w:left="720"/>
        <w:contextualSpacing/>
        <w:jc w:val="both"/>
        <w:textAlignment w:val="baseline"/>
        <w:rPr>
          <w:sz w:val="26"/>
          <w:szCs w:val="26"/>
        </w:rPr>
      </w:pPr>
    </w:p>
    <w:p w:rsidR="00EB7A3F" w:rsidRPr="00E232A6" w:rsidP="00AD3A84" w14:paraId="17E33BA8" w14:textId="5A589D56">
      <w:pPr>
        <w:spacing w:before="240" w:after="240"/>
        <w:contextualSpacing/>
        <w:jc w:val="both"/>
        <w:rPr>
          <w:sz w:val="26"/>
          <w:szCs w:val="26"/>
        </w:rPr>
      </w:pPr>
      <w:r w:rsidRPr="00E232A6">
        <w:rPr>
          <w:sz w:val="26"/>
          <w:szCs w:val="26"/>
        </w:rPr>
        <w:t>A Comissão de Finanças e Orçamento destaca que os trabalhos de diligências, reuniões da comissão com a presença de Secretários e Servidores Públicos presenciais ou on-line foram realizadas com a devida autorização da Presidente desta Casa de Leis, Vereadora Sônia Regina Rodrigues, conforme ofício nº 038/2021, anexo aos autos do processo nº 015/2021. </w:t>
      </w:r>
    </w:p>
    <w:p w:rsidR="005D24F4" w:rsidRPr="00E232A6" w:rsidP="00AD3A84" w14:paraId="1498D585" w14:textId="77777777">
      <w:pPr>
        <w:spacing w:before="240" w:after="240"/>
        <w:contextualSpacing/>
        <w:jc w:val="both"/>
        <w:rPr>
          <w:sz w:val="26"/>
          <w:szCs w:val="26"/>
        </w:rPr>
      </w:pPr>
    </w:p>
    <w:p w:rsidR="00EB7A3F" w:rsidRPr="00E232A6" w:rsidP="00AD3A84" w14:paraId="037463AB" w14:textId="1B71C389">
      <w:pPr>
        <w:spacing w:before="240" w:after="240"/>
        <w:contextualSpacing/>
        <w:jc w:val="both"/>
        <w:rPr>
          <w:sz w:val="26"/>
          <w:szCs w:val="26"/>
          <w:shd w:val="clear" w:color="auto" w:fill="FFFFFF"/>
        </w:rPr>
      </w:pPr>
      <w:r w:rsidRPr="00E232A6">
        <w:rPr>
          <w:sz w:val="26"/>
          <w:szCs w:val="26"/>
          <w:shd w:val="clear" w:color="auto" w:fill="FFFFFF"/>
        </w:rPr>
        <w:t>A Servidora Leonara explicou que a Prefeitura de Mogi Mirim deixou de recolher os encargos sociais no mês de outubro, não procedeu o recolhimento das retenções efetuadas nas folhas dos servidores,</w:t>
      </w:r>
      <w:r w:rsidR="000C08FF">
        <w:rPr>
          <w:sz w:val="26"/>
          <w:szCs w:val="26"/>
          <w:shd w:val="clear" w:color="auto" w:fill="FFFFFF"/>
        </w:rPr>
        <w:t xml:space="preserve"> </w:t>
      </w:r>
      <w:r w:rsidR="001D3A8B">
        <w:rPr>
          <w:sz w:val="26"/>
          <w:szCs w:val="26"/>
          <w:shd w:val="clear" w:color="auto" w:fill="FFFFFF"/>
        </w:rPr>
        <w:t>e</w:t>
      </w:r>
      <w:r w:rsidRPr="00E232A6">
        <w:rPr>
          <w:sz w:val="26"/>
          <w:szCs w:val="26"/>
          <w:shd w:val="clear" w:color="auto" w:fill="FFFFFF"/>
        </w:rPr>
        <w:t xml:space="preserve"> deixou de recolher parcialmente os encargos do mês de novembro e da folha do 13º </w:t>
      </w:r>
      <w:r w:rsidR="00497D99">
        <w:rPr>
          <w:sz w:val="26"/>
          <w:szCs w:val="26"/>
          <w:shd w:val="clear" w:color="auto" w:fill="FFFFFF"/>
        </w:rPr>
        <w:t xml:space="preserve">(décimo terceiro) </w:t>
      </w:r>
      <w:r w:rsidRPr="00E232A6">
        <w:rPr>
          <w:sz w:val="26"/>
          <w:szCs w:val="26"/>
          <w:shd w:val="clear" w:color="auto" w:fill="FFFFFF"/>
        </w:rPr>
        <w:t xml:space="preserve">salário. Também foram efetuados pela fiscalização registros de que os débitos alcançaram R$ 4.903.912,87 (quatro milhões, novecentos e três mil novecentos e doze reais e oitenta e sete centavos), sendo objeto de parcelamento </w:t>
      </w:r>
      <w:r w:rsidRPr="00E232A6" w:rsidR="004C3A32">
        <w:rPr>
          <w:sz w:val="26"/>
          <w:szCs w:val="26"/>
          <w:shd w:val="clear" w:color="auto" w:fill="FFFFFF"/>
        </w:rPr>
        <w:t xml:space="preserve">no final de 2.017 e início de </w:t>
      </w:r>
      <w:r w:rsidRPr="00E232A6">
        <w:rPr>
          <w:sz w:val="26"/>
          <w:szCs w:val="26"/>
          <w:shd w:val="clear" w:color="auto" w:fill="FFFFFF"/>
        </w:rPr>
        <w:t>2</w:t>
      </w:r>
      <w:r w:rsidRPr="00E232A6" w:rsidR="004C3A32">
        <w:rPr>
          <w:sz w:val="26"/>
          <w:szCs w:val="26"/>
          <w:shd w:val="clear" w:color="auto" w:fill="FFFFFF"/>
        </w:rPr>
        <w:t>.</w:t>
      </w:r>
      <w:r w:rsidRPr="00E232A6">
        <w:rPr>
          <w:sz w:val="26"/>
          <w:szCs w:val="26"/>
          <w:shd w:val="clear" w:color="auto" w:fill="FFFFFF"/>
        </w:rPr>
        <w:t>018. </w:t>
      </w:r>
    </w:p>
    <w:p w:rsidR="005D24F4" w:rsidRPr="00E232A6" w:rsidP="00AD3A84" w14:paraId="3B59C9D7" w14:textId="77777777">
      <w:pPr>
        <w:spacing w:before="240" w:after="240"/>
        <w:contextualSpacing/>
        <w:jc w:val="both"/>
        <w:rPr>
          <w:sz w:val="26"/>
          <w:szCs w:val="26"/>
        </w:rPr>
      </w:pPr>
    </w:p>
    <w:p w:rsidR="00EB7A3F" w:rsidRPr="00E232A6" w:rsidP="00AD3A84" w14:paraId="23203D1D" w14:textId="11168B55">
      <w:pPr>
        <w:spacing w:before="240" w:after="240"/>
        <w:contextualSpacing/>
        <w:jc w:val="both"/>
        <w:rPr>
          <w:sz w:val="26"/>
          <w:szCs w:val="26"/>
          <w:shd w:val="clear" w:color="auto" w:fill="FFFFFF"/>
        </w:rPr>
      </w:pPr>
      <w:r w:rsidRPr="00E232A6">
        <w:rPr>
          <w:sz w:val="26"/>
          <w:szCs w:val="26"/>
          <w:shd w:val="clear" w:color="auto" w:fill="FFFFFF"/>
        </w:rPr>
        <w:t>Segundo a servidora, no exercício 2</w:t>
      </w:r>
      <w:r w:rsidRPr="00E232A6" w:rsidR="001B372F">
        <w:rPr>
          <w:sz w:val="26"/>
          <w:szCs w:val="26"/>
          <w:shd w:val="clear" w:color="auto" w:fill="FFFFFF"/>
        </w:rPr>
        <w:t>.</w:t>
      </w:r>
      <w:r w:rsidRPr="00E232A6">
        <w:rPr>
          <w:sz w:val="26"/>
          <w:szCs w:val="26"/>
          <w:shd w:val="clear" w:color="auto" w:fill="FFFFFF"/>
        </w:rPr>
        <w:t>017, a Administração Municipal, não esteve alheia aos preceitos fiscais e procurou efetuar uma gestão fiscal responsável, transparente e planejada, conforme preconiza o Tribunal de Contas, pois as únicas competências de encargos não pagas pelo Sr. Carlos Nelson Bueno, relativas ao exercício de sua responsabilidade, são: outubro e novembro de 2</w:t>
      </w:r>
      <w:r w:rsidRPr="00E232A6" w:rsidR="0084255C">
        <w:rPr>
          <w:sz w:val="26"/>
          <w:szCs w:val="26"/>
          <w:shd w:val="clear" w:color="auto" w:fill="FFFFFF"/>
        </w:rPr>
        <w:t>.</w:t>
      </w:r>
      <w:r w:rsidRPr="00E232A6">
        <w:rPr>
          <w:sz w:val="26"/>
          <w:szCs w:val="26"/>
          <w:shd w:val="clear" w:color="auto" w:fill="FFFFFF"/>
        </w:rPr>
        <w:t>017 e o 13º</w:t>
      </w:r>
      <w:r w:rsidR="00497D99">
        <w:rPr>
          <w:sz w:val="26"/>
          <w:szCs w:val="26"/>
          <w:shd w:val="clear" w:color="auto" w:fill="FFFFFF"/>
        </w:rPr>
        <w:t xml:space="preserve"> (décimo terceiro) salário</w:t>
      </w:r>
      <w:r w:rsidRPr="00E232A6">
        <w:rPr>
          <w:sz w:val="26"/>
          <w:szCs w:val="26"/>
          <w:shd w:val="clear" w:color="auto" w:fill="FFFFFF"/>
        </w:rPr>
        <w:t>.</w:t>
      </w:r>
    </w:p>
    <w:p w:rsidR="005D24F4" w:rsidRPr="00E232A6" w:rsidP="00AD3A84" w14:paraId="034DC6DC" w14:textId="77777777">
      <w:pPr>
        <w:spacing w:before="240" w:after="240"/>
        <w:contextualSpacing/>
        <w:jc w:val="both"/>
        <w:rPr>
          <w:sz w:val="26"/>
          <w:szCs w:val="26"/>
        </w:rPr>
      </w:pPr>
    </w:p>
    <w:p w:rsidR="00EB7A3F" w:rsidRPr="00E232A6" w:rsidP="00AD3A84" w14:paraId="26D53889" w14:textId="59D2993F">
      <w:pPr>
        <w:spacing w:before="240" w:after="240"/>
        <w:contextualSpacing/>
        <w:jc w:val="both"/>
        <w:rPr>
          <w:sz w:val="26"/>
          <w:szCs w:val="26"/>
          <w:shd w:val="clear" w:color="auto" w:fill="FFFFFF"/>
        </w:rPr>
      </w:pPr>
      <w:r w:rsidRPr="00E232A6">
        <w:rPr>
          <w:sz w:val="26"/>
          <w:szCs w:val="26"/>
          <w:shd w:val="clear" w:color="auto" w:fill="FFFFFF"/>
        </w:rPr>
        <w:t>Com relação aos fornecedores, a servidora Leonara acrescentou que a dívida foi parcelada em grandes e pequenos pagamentos para serem efetuados, mediante autorização legislativa.</w:t>
      </w:r>
    </w:p>
    <w:p w:rsidR="005D24F4" w:rsidRPr="00E232A6" w:rsidP="00AD3A84" w14:paraId="7F4DEFFC" w14:textId="77777777">
      <w:pPr>
        <w:spacing w:before="240" w:after="240"/>
        <w:contextualSpacing/>
        <w:jc w:val="both"/>
        <w:rPr>
          <w:sz w:val="26"/>
          <w:szCs w:val="26"/>
        </w:rPr>
      </w:pPr>
    </w:p>
    <w:p w:rsidR="005D24F4" w:rsidRPr="00E232A6" w:rsidP="00AD3A84" w14:paraId="530DC2A2" w14:textId="77777777">
      <w:pPr>
        <w:spacing w:before="240" w:after="240"/>
        <w:contextualSpacing/>
        <w:jc w:val="both"/>
        <w:rPr>
          <w:sz w:val="26"/>
          <w:szCs w:val="26"/>
          <w:shd w:val="clear" w:color="auto" w:fill="FFFFFF"/>
        </w:rPr>
      </w:pPr>
      <w:r w:rsidRPr="00E232A6">
        <w:rPr>
          <w:sz w:val="26"/>
          <w:szCs w:val="26"/>
          <w:shd w:val="clear" w:color="auto" w:fill="FFFFFF"/>
        </w:rPr>
        <w:t>A ex-Secretária de Negócios Jurídicos, Dra. Adriana</w:t>
      </w:r>
      <w:r w:rsidRPr="00E232A6" w:rsidR="0084255C">
        <w:rPr>
          <w:sz w:val="26"/>
          <w:szCs w:val="26"/>
          <w:shd w:val="clear" w:color="auto" w:fill="FFFFFF"/>
        </w:rPr>
        <w:t xml:space="preserve"> </w:t>
      </w:r>
      <w:r w:rsidRPr="00E232A6" w:rsidR="0084255C">
        <w:rPr>
          <w:sz w:val="26"/>
          <w:szCs w:val="26"/>
        </w:rPr>
        <w:t>Tavares de Oliveira Penha</w:t>
      </w:r>
      <w:r w:rsidRPr="00E232A6">
        <w:rPr>
          <w:sz w:val="26"/>
          <w:szCs w:val="26"/>
          <w:shd w:val="clear" w:color="auto" w:fill="FFFFFF"/>
        </w:rPr>
        <w:t xml:space="preserve">, na oitiva por </w:t>
      </w:r>
      <w:r w:rsidRPr="00E232A6" w:rsidR="0084255C">
        <w:rPr>
          <w:sz w:val="26"/>
          <w:szCs w:val="26"/>
          <w:shd w:val="clear" w:color="auto" w:fill="FFFFFF"/>
        </w:rPr>
        <w:t>videoconferência</w:t>
      </w:r>
      <w:r w:rsidRPr="00E232A6">
        <w:rPr>
          <w:sz w:val="26"/>
          <w:szCs w:val="26"/>
          <w:shd w:val="clear" w:color="auto" w:fill="FFFFFF"/>
        </w:rPr>
        <w:t xml:space="preserve"> explicou  a esta comissão</w:t>
      </w:r>
      <w:r w:rsidRPr="00E232A6" w:rsidR="00D256AD">
        <w:rPr>
          <w:sz w:val="26"/>
          <w:szCs w:val="26"/>
          <w:shd w:val="clear" w:color="auto" w:fill="FFFFFF"/>
        </w:rPr>
        <w:t>,</w:t>
      </w:r>
      <w:r w:rsidRPr="00E232A6">
        <w:rPr>
          <w:sz w:val="26"/>
          <w:szCs w:val="26"/>
          <w:shd w:val="clear" w:color="auto" w:fill="FFFFFF"/>
        </w:rPr>
        <w:t xml:space="preserve"> que quando realizou a defesa desta </w:t>
      </w:r>
      <w:r w:rsidRPr="00E232A6">
        <w:rPr>
          <w:sz w:val="26"/>
          <w:szCs w:val="26"/>
          <w:shd w:val="clear" w:color="auto" w:fill="FFFFFF"/>
        </w:rPr>
        <w:t>Municipalidade procurou demonstrar ao Tribunal de Contas  de forma clara e objetiva que a situação financeira do exercício fiscal de 2</w:t>
      </w:r>
      <w:r w:rsidRPr="00E232A6" w:rsidR="00D256AD">
        <w:rPr>
          <w:sz w:val="26"/>
          <w:szCs w:val="26"/>
          <w:shd w:val="clear" w:color="auto" w:fill="FFFFFF"/>
        </w:rPr>
        <w:t>.</w:t>
      </w:r>
      <w:r w:rsidRPr="00E232A6">
        <w:rPr>
          <w:sz w:val="26"/>
          <w:szCs w:val="26"/>
          <w:shd w:val="clear" w:color="auto" w:fill="FFFFFF"/>
        </w:rPr>
        <w:t>017 foi extremamente atípica e delicada e que as dificuldades encontradas pela administração que iniciou novo mandato, foram fatores determinantes para o não pagamento dos encargos e posterior parcelamento.</w:t>
      </w:r>
    </w:p>
    <w:p w:rsidR="00EB7A3F" w:rsidRPr="00E232A6" w:rsidP="00AD3A84" w14:paraId="5CE69FAF" w14:textId="6BFC8F2E">
      <w:pPr>
        <w:spacing w:before="240" w:after="240"/>
        <w:contextualSpacing/>
        <w:jc w:val="both"/>
        <w:rPr>
          <w:sz w:val="26"/>
          <w:szCs w:val="26"/>
        </w:rPr>
      </w:pPr>
      <w:r w:rsidRPr="00E232A6">
        <w:rPr>
          <w:sz w:val="26"/>
          <w:szCs w:val="26"/>
          <w:shd w:val="clear" w:color="auto" w:fill="FFFFFF"/>
        </w:rPr>
        <w:t> </w:t>
      </w:r>
    </w:p>
    <w:p w:rsidR="00EB7A3F" w:rsidRPr="00E232A6" w:rsidP="00AD3A84" w14:paraId="1688D418" w14:textId="51F0A27B">
      <w:pPr>
        <w:spacing w:before="240" w:after="240"/>
        <w:contextualSpacing/>
        <w:jc w:val="both"/>
        <w:rPr>
          <w:sz w:val="26"/>
          <w:szCs w:val="26"/>
          <w:shd w:val="clear" w:color="auto" w:fill="FFFFFF"/>
        </w:rPr>
      </w:pPr>
      <w:r w:rsidRPr="00E232A6">
        <w:rPr>
          <w:sz w:val="26"/>
          <w:szCs w:val="26"/>
          <w:shd w:val="clear" w:color="auto" w:fill="FFFFFF"/>
        </w:rPr>
        <w:t>A ex-Secretária Jurídica explicou ainda que argumentou, em sustentação oral que o julgamento proferido, se mantido pelo Tribunal</w:t>
      </w:r>
      <w:r w:rsidRPr="00E232A6" w:rsidR="00D256AD">
        <w:rPr>
          <w:sz w:val="26"/>
          <w:szCs w:val="26"/>
          <w:shd w:val="clear" w:color="auto" w:fill="FFFFFF"/>
        </w:rPr>
        <w:t>,</w:t>
      </w:r>
      <w:r w:rsidRPr="00E232A6">
        <w:rPr>
          <w:sz w:val="26"/>
          <w:szCs w:val="26"/>
          <w:shd w:val="clear" w:color="auto" w:fill="FFFFFF"/>
        </w:rPr>
        <w:t xml:space="preserve"> puniria um gestor que estava tentando honrar com os compromissos e, que tal postura não denota má administração da coisa pública, mas sim uma consequência do caos financeiro ao qual esse gestor se deparou no início da gestão.</w:t>
      </w:r>
    </w:p>
    <w:p w:rsidR="005D24F4" w:rsidRPr="00E232A6" w:rsidP="00AD3A84" w14:paraId="17963C87" w14:textId="77777777">
      <w:pPr>
        <w:spacing w:before="240" w:after="240"/>
        <w:contextualSpacing/>
        <w:jc w:val="both"/>
        <w:rPr>
          <w:sz w:val="26"/>
          <w:szCs w:val="26"/>
        </w:rPr>
      </w:pPr>
    </w:p>
    <w:p w:rsidR="00EB7A3F" w:rsidRPr="00E232A6" w:rsidP="00AD3A84" w14:paraId="1A3D5631" w14:textId="799CB379">
      <w:pPr>
        <w:spacing w:before="240" w:after="240"/>
        <w:contextualSpacing/>
        <w:jc w:val="both"/>
        <w:rPr>
          <w:sz w:val="26"/>
          <w:szCs w:val="26"/>
          <w:shd w:val="clear" w:color="auto" w:fill="FFFFFF"/>
        </w:rPr>
      </w:pPr>
      <w:r w:rsidRPr="00E232A6">
        <w:rPr>
          <w:sz w:val="26"/>
          <w:szCs w:val="26"/>
          <w:shd w:val="clear" w:color="auto" w:fill="FFFFFF"/>
        </w:rPr>
        <w:t xml:space="preserve">O ex-Secretário Financeiro Ms. Roberto de Oliveira Junior em sua oitiva refere que </w:t>
      </w:r>
      <w:r w:rsidRPr="00E232A6" w:rsidR="00D256AD">
        <w:rPr>
          <w:sz w:val="26"/>
          <w:szCs w:val="26"/>
          <w:shd w:val="clear" w:color="auto" w:fill="FFFFFF"/>
        </w:rPr>
        <w:t>se recorda</w:t>
      </w:r>
      <w:r w:rsidRPr="00E232A6">
        <w:rPr>
          <w:sz w:val="26"/>
          <w:szCs w:val="26"/>
          <w:shd w:val="clear" w:color="auto" w:fill="FFFFFF"/>
        </w:rPr>
        <w:t xml:space="preserve"> que o Município estava altamente endividado, que a prova disso são as audiências públicas que foram realizadas em 2017 com a presença dos vereadores da legislatura que se iniciou. </w:t>
      </w:r>
    </w:p>
    <w:p w:rsidR="005D24F4" w:rsidRPr="00E232A6" w:rsidP="00AD3A84" w14:paraId="0B9E1E26" w14:textId="77777777">
      <w:pPr>
        <w:spacing w:before="240" w:after="240"/>
        <w:contextualSpacing/>
        <w:jc w:val="both"/>
        <w:rPr>
          <w:sz w:val="26"/>
          <w:szCs w:val="26"/>
        </w:rPr>
      </w:pPr>
    </w:p>
    <w:p w:rsidR="00EB7A3F" w:rsidRPr="00E232A6" w:rsidP="00AD3A84" w14:paraId="3E20557E" w14:textId="4BF74E94">
      <w:pPr>
        <w:spacing w:before="240" w:after="240"/>
        <w:contextualSpacing/>
        <w:jc w:val="both"/>
        <w:rPr>
          <w:sz w:val="26"/>
          <w:szCs w:val="26"/>
          <w:shd w:val="clear" w:color="auto" w:fill="FFFFFF"/>
        </w:rPr>
      </w:pPr>
      <w:r w:rsidRPr="00E232A6">
        <w:rPr>
          <w:sz w:val="26"/>
          <w:szCs w:val="26"/>
          <w:shd w:val="clear" w:color="auto" w:fill="FFFFFF"/>
        </w:rPr>
        <w:t>Para Roberto foi realmente um ano atípico de acerto de contas, de colocar a casa em ordem e que algumas coisas realmente ficaram para terminar em detrimento de outras que necessitavam de ajustes. </w:t>
      </w:r>
    </w:p>
    <w:p w:rsidR="005D24F4" w:rsidRPr="00E232A6" w:rsidP="00AD3A84" w14:paraId="698E5523" w14:textId="77777777">
      <w:pPr>
        <w:spacing w:before="240" w:after="240"/>
        <w:contextualSpacing/>
        <w:jc w:val="both"/>
        <w:rPr>
          <w:sz w:val="26"/>
          <w:szCs w:val="26"/>
        </w:rPr>
      </w:pPr>
    </w:p>
    <w:p w:rsidR="00EB7A3F" w:rsidRPr="00E232A6" w:rsidP="00AD3A84" w14:paraId="797C8562" w14:textId="11972823">
      <w:pPr>
        <w:spacing w:before="240" w:after="240"/>
        <w:contextualSpacing/>
        <w:jc w:val="both"/>
        <w:rPr>
          <w:sz w:val="26"/>
          <w:szCs w:val="26"/>
          <w:shd w:val="clear" w:color="auto" w:fill="FFFFFF"/>
        </w:rPr>
      </w:pPr>
      <w:r w:rsidRPr="00E232A6">
        <w:rPr>
          <w:sz w:val="26"/>
          <w:szCs w:val="26"/>
          <w:shd w:val="clear" w:color="auto" w:fill="FFFFFF"/>
        </w:rPr>
        <w:t>O Servidor Público e ex-Secretário Oliveira Pereira da Costa refere que assumiu a pasta com a saída do ex-Secretário Roberto de Oliveira Junior, mas informa que participou da equipe desde o início da gestão em 2</w:t>
      </w:r>
      <w:r w:rsidR="004014B5">
        <w:rPr>
          <w:sz w:val="26"/>
          <w:szCs w:val="26"/>
          <w:shd w:val="clear" w:color="auto" w:fill="FFFFFF"/>
        </w:rPr>
        <w:t>.</w:t>
      </w:r>
      <w:r w:rsidRPr="00E232A6">
        <w:rPr>
          <w:sz w:val="26"/>
          <w:szCs w:val="26"/>
          <w:shd w:val="clear" w:color="auto" w:fill="FFFFFF"/>
        </w:rPr>
        <w:t>017.</w:t>
      </w:r>
    </w:p>
    <w:p w:rsidR="005D24F4" w:rsidRPr="00E232A6" w:rsidP="00AD3A84" w14:paraId="0247BCEF" w14:textId="77777777">
      <w:pPr>
        <w:spacing w:before="240" w:after="240"/>
        <w:contextualSpacing/>
        <w:jc w:val="both"/>
        <w:rPr>
          <w:sz w:val="26"/>
          <w:szCs w:val="26"/>
        </w:rPr>
      </w:pPr>
    </w:p>
    <w:p w:rsidR="00EB7A3F" w:rsidRPr="00E232A6" w:rsidP="00AD3A84" w14:paraId="3915ECCC" w14:textId="3B6590BB">
      <w:pPr>
        <w:spacing w:before="240" w:after="240"/>
        <w:contextualSpacing/>
        <w:jc w:val="both"/>
        <w:rPr>
          <w:sz w:val="26"/>
          <w:szCs w:val="26"/>
          <w:shd w:val="clear" w:color="auto" w:fill="FFFFFF"/>
        </w:rPr>
      </w:pPr>
      <w:r w:rsidRPr="00E232A6">
        <w:rPr>
          <w:sz w:val="26"/>
          <w:szCs w:val="26"/>
          <w:shd w:val="clear" w:color="auto" w:fill="FFFFFF"/>
        </w:rPr>
        <w:t>Oliveira iniciou sua oitiva dizendo que Mogi Mirim era uma cidade que estava sem crédito no início de 2</w:t>
      </w:r>
      <w:r w:rsidR="004014B5">
        <w:rPr>
          <w:sz w:val="26"/>
          <w:szCs w:val="26"/>
          <w:shd w:val="clear" w:color="auto" w:fill="FFFFFF"/>
        </w:rPr>
        <w:t>.</w:t>
      </w:r>
      <w:r w:rsidRPr="00E232A6">
        <w:rPr>
          <w:sz w:val="26"/>
          <w:szCs w:val="26"/>
          <w:shd w:val="clear" w:color="auto" w:fill="FFFFFF"/>
        </w:rPr>
        <w:t>017</w:t>
      </w:r>
      <w:r w:rsidR="004014B5">
        <w:rPr>
          <w:sz w:val="26"/>
          <w:szCs w:val="26"/>
          <w:shd w:val="clear" w:color="auto" w:fill="FFFFFF"/>
        </w:rPr>
        <w:t>,</w:t>
      </w:r>
      <w:r w:rsidRPr="00E232A6">
        <w:rPr>
          <w:sz w:val="26"/>
          <w:szCs w:val="26"/>
          <w:shd w:val="clear" w:color="auto" w:fill="FFFFFF"/>
        </w:rPr>
        <w:t xml:space="preserve"> e que na atualidade o </w:t>
      </w:r>
      <w:r w:rsidRPr="00E232A6" w:rsidR="00D256AD">
        <w:rPr>
          <w:sz w:val="26"/>
          <w:szCs w:val="26"/>
          <w:shd w:val="clear" w:color="auto" w:fill="FFFFFF"/>
        </w:rPr>
        <w:t>T</w:t>
      </w:r>
      <w:r w:rsidRPr="00E232A6">
        <w:rPr>
          <w:sz w:val="26"/>
          <w:szCs w:val="26"/>
          <w:shd w:val="clear" w:color="auto" w:fill="FFFFFF"/>
        </w:rPr>
        <w:t>ribunal de Contas acompanha praticamente os municípios quadrimestralmente. Que não foi cumprido o que estava na legislação, mas não houve dolo</w:t>
      </w:r>
      <w:r w:rsidR="00C472FD">
        <w:rPr>
          <w:sz w:val="26"/>
          <w:szCs w:val="26"/>
          <w:shd w:val="clear" w:color="auto" w:fill="FFFFFF"/>
        </w:rPr>
        <w:t>,</w:t>
      </w:r>
      <w:r w:rsidRPr="00E232A6">
        <w:rPr>
          <w:sz w:val="26"/>
          <w:szCs w:val="26"/>
          <w:shd w:val="clear" w:color="auto" w:fill="FFFFFF"/>
        </w:rPr>
        <w:t xml:space="preserve"> e que partiu do executivo a intenção de pagamento, </w:t>
      </w:r>
      <w:r w:rsidR="006A13AE">
        <w:rPr>
          <w:sz w:val="26"/>
          <w:szCs w:val="26"/>
          <w:shd w:val="clear" w:color="auto" w:fill="FFFFFF"/>
        </w:rPr>
        <w:t>uma vez</w:t>
      </w:r>
      <w:r w:rsidR="00C472FD">
        <w:rPr>
          <w:sz w:val="26"/>
          <w:szCs w:val="26"/>
          <w:shd w:val="clear" w:color="auto" w:fill="FFFFFF"/>
        </w:rPr>
        <w:t xml:space="preserve"> </w:t>
      </w:r>
      <w:r w:rsidRPr="00E232A6">
        <w:rPr>
          <w:sz w:val="26"/>
          <w:szCs w:val="26"/>
          <w:shd w:val="clear" w:color="auto" w:fill="FFFFFF"/>
        </w:rPr>
        <w:t>que a equipe chegou para negociar a dívida da gestão passada, antes da abertura do procedimento fiscal. </w:t>
      </w:r>
    </w:p>
    <w:p w:rsidR="005D24F4" w:rsidRPr="00E232A6" w:rsidP="00AD3A84" w14:paraId="3119068C" w14:textId="77777777">
      <w:pPr>
        <w:spacing w:before="240" w:after="240"/>
        <w:contextualSpacing/>
        <w:jc w:val="both"/>
        <w:rPr>
          <w:sz w:val="26"/>
          <w:szCs w:val="26"/>
        </w:rPr>
      </w:pPr>
    </w:p>
    <w:p w:rsidR="00EB7A3F" w:rsidRPr="00E232A6" w:rsidP="00AD3A84" w14:paraId="192A330A" w14:textId="281D0014">
      <w:pPr>
        <w:spacing w:before="240" w:after="240"/>
        <w:contextualSpacing/>
        <w:jc w:val="both"/>
        <w:rPr>
          <w:sz w:val="26"/>
          <w:szCs w:val="26"/>
          <w:shd w:val="clear" w:color="auto" w:fill="FFFFFF"/>
        </w:rPr>
      </w:pPr>
      <w:r w:rsidRPr="00E232A6">
        <w:rPr>
          <w:sz w:val="26"/>
          <w:szCs w:val="26"/>
          <w:shd w:val="clear" w:color="auto" w:fill="FFFFFF"/>
        </w:rPr>
        <w:t xml:space="preserve">Para o Servidor Oliveira o Prefeito Carlos Nelson fez o que foi possível, </w:t>
      </w:r>
      <w:r w:rsidRPr="00E232A6" w:rsidR="00BE71EC">
        <w:rPr>
          <w:sz w:val="26"/>
          <w:szCs w:val="26"/>
          <w:shd w:val="clear" w:color="auto" w:fill="FFFFFF"/>
        </w:rPr>
        <w:t>pois</w:t>
      </w:r>
      <w:r w:rsidRPr="00E232A6">
        <w:rPr>
          <w:sz w:val="26"/>
          <w:szCs w:val="26"/>
          <w:shd w:val="clear" w:color="auto" w:fill="FFFFFF"/>
        </w:rPr>
        <w:t xml:space="preserve"> não </w:t>
      </w:r>
      <w:r w:rsidRPr="00E232A6" w:rsidR="00BE71EC">
        <w:rPr>
          <w:sz w:val="26"/>
          <w:szCs w:val="26"/>
          <w:shd w:val="clear" w:color="auto" w:fill="FFFFFF"/>
        </w:rPr>
        <w:t xml:space="preserve">havia </w:t>
      </w:r>
      <w:r w:rsidRPr="00E232A6">
        <w:rPr>
          <w:sz w:val="26"/>
          <w:szCs w:val="26"/>
          <w:shd w:val="clear" w:color="auto" w:fill="FFFFFF"/>
        </w:rPr>
        <w:t>outra alternativa</w:t>
      </w:r>
      <w:r w:rsidRPr="00E232A6">
        <w:rPr>
          <w:sz w:val="26"/>
          <w:szCs w:val="26"/>
          <w:shd w:val="clear" w:color="auto" w:fill="FFFFFF"/>
        </w:rPr>
        <w:t xml:space="preserve"> naquele momento, não tinha como fechar o exercício, mas que houve seriedade na gestão.</w:t>
      </w:r>
    </w:p>
    <w:p w:rsidR="005D24F4" w:rsidRPr="00E232A6" w:rsidP="00AD3A84" w14:paraId="7B98C339" w14:textId="77777777">
      <w:pPr>
        <w:spacing w:before="240" w:after="240"/>
        <w:contextualSpacing/>
        <w:jc w:val="both"/>
        <w:rPr>
          <w:sz w:val="26"/>
          <w:szCs w:val="26"/>
        </w:rPr>
      </w:pPr>
    </w:p>
    <w:p w:rsidR="00EB7A3F" w:rsidRPr="00E232A6" w:rsidP="00AD3A84" w14:paraId="02F4D3D0" w14:textId="2E86583F">
      <w:pPr>
        <w:spacing w:before="240" w:after="240"/>
        <w:contextualSpacing/>
        <w:jc w:val="both"/>
        <w:rPr>
          <w:sz w:val="26"/>
          <w:szCs w:val="26"/>
          <w:shd w:val="clear" w:color="auto" w:fill="FFFFFF"/>
        </w:rPr>
      </w:pPr>
      <w:r w:rsidRPr="00E232A6">
        <w:rPr>
          <w:sz w:val="26"/>
          <w:szCs w:val="26"/>
          <w:shd w:val="clear" w:color="auto" w:fill="FFFFFF"/>
        </w:rPr>
        <w:t xml:space="preserve">Estando o processo administrativo na posse desta, analisando e deliberando, ficou decidido, que a Comissão de Finanças e Orçamento iria notificar o Senhor </w:t>
      </w:r>
      <w:r w:rsidRPr="00E232A6">
        <w:rPr>
          <w:sz w:val="26"/>
          <w:szCs w:val="26"/>
          <w:shd w:val="clear" w:color="auto" w:fill="FFFFFF"/>
        </w:rPr>
        <w:t>Ex</w:t>
      </w:r>
      <w:r w:rsidRPr="00E232A6">
        <w:rPr>
          <w:sz w:val="26"/>
          <w:szCs w:val="26"/>
          <w:shd w:val="clear" w:color="auto" w:fill="FFFFFF"/>
        </w:rPr>
        <w:t>- Prefeito Municipal, Arquiteto Carlos Nelson Bueno para que, em tempo hábil, se manifestasse; e assim o fizemos, sendo que no dia 15 de abril de 2</w:t>
      </w:r>
      <w:r w:rsidRPr="00E232A6" w:rsidR="00DA0FC5">
        <w:rPr>
          <w:sz w:val="26"/>
          <w:szCs w:val="26"/>
          <w:shd w:val="clear" w:color="auto" w:fill="FFFFFF"/>
        </w:rPr>
        <w:t>.</w:t>
      </w:r>
      <w:r w:rsidRPr="00E232A6">
        <w:rPr>
          <w:sz w:val="26"/>
          <w:szCs w:val="26"/>
          <w:shd w:val="clear" w:color="auto" w:fill="FFFFFF"/>
        </w:rPr>
        <w:t xml:space="preserve">021, através do ofício nº 050/2021, notificamos o </w:t>
      </w:r>
      <w:r w:rsidRPr="00E232A6" w:rsidR="00E6234E">
        <w:rPr>
          <w:sz w:val="26"/>
          <w:szCs w:val="26"/>
          <w:shd w:val="clear" w:color="auto" w:fill="FFFFFF"/>
        </w:rPr>
        <w:t>ex-prefeito</w:t>
      </w:r>
      <w:r w:rsidRPr="00E232A6">
        <w:rPr>
          <w:sz w:val="26"/>
          <w:szCs w:val="26"/>
          <w:shd w:val="clear" w:color="auto" w:fill="FFFFFF"/>
        </w:rPr>
        <w:t xml:space="preserve">, sendo que o referido ofício foi entregue aos cuidados do senhor Edson Pessiquelli (cópia anexa).  Na sequência, publicamos a notificação no Diário Oficial do Município, na edição impressa no dia 17 de abril de 2.021 </w:t>
      </w:r>
      <w:r w:rsidRPr="00E232A6" w:rsidR="00E6234E">
        <w:rPr>
          <w:sz w:val="26"/>
          <w:szCs w:val="26"/>
          <w:shd w:val="clear" w:color="auto" w:fill="FFFFFF"/>
        </w:rPr>
        <w:t xml:space="preserve">para </w:t>
      </w:r>
      <w:r w:rsidRPr="00E232A6">
        <w:rPr>
          <w:sz w:val="26"/>
          <w:szCs w:val="26"/>
          <w:shd w:val="clear" w:color="auto" w:fill="FFFFFF"/>
        </w:rPr>
        <w:t>qualquer tipo de manifestação por parte do interessado, garantindo</w:t>
      </w:r>
      <w:r w:rsidRPr="00E232A6" w:rsidR="00E6234E">
        <w:rPr>
          <w:sz w:val="26"/>
          <w:szCs w:val="26"/>
          <w:shd w:val="clear" w:color="auto" w:fill="FFFFFF"/>
        </w:rPr>
        <w:t>-lhe</w:t>
      </w:r>
      <w:r w:rsidRPr="00E232A6">
        <w:rPr>
          <w:sz w:val="26"/>
          <w:szCs w:val="26"/>
          <w:shd w:val="clear" w:color="auto" w:fill="FFFFFF"/>
        </w:rPr>
        <w:t xml:space="preserve"> o direito constitucional de ampla defesa, conforme Artigo 5º da Constituição Federal de 1988.</w:t>
      </w:r>
    </w:p>
    <w:p w:rsidR="005D24F4" w:rsidRPr="00E232A6" w:rsidP="00AD3A84" w14:paraId="72F42A25" w14:textId="77777777">
      <w:pPr>
        <w:spacing w:before="240" w:after="240"/>
        <w:contextualSpacing/>
        <w:jc w:val="both"/>
        <w:rPr>
          <w:sz w:val="26"/>
          <w:szCs w:val="26"/>
        </w:rPr>
      </w:pPr>
    </w:p>
    <w:p w:rsidR="003054AB" w:rsidRPr="00E232A6" w:rsidP="00AD3A84" w14:paraId="019BC547" w14:textId="03F26E1B">
      <w:pPr>
        <w:spacing w:before="240" w:after="240"/>
        <w:contextualSpacing/>
        <w:jc w:val="both"/>
        <w:rPr>
          <w:sz w:val="26"/>
          <w:szCs w:val="26"/>
          <w:shd w:val="clear" w:color="auto" w:fill="FFFFFF"/>
        </w:rPr>
      </w:pPr>
      <w:r w:rsidRPr="00E232A6">
        <w:rPr>
          <w:sz w:val="26"/>
          <w:szCs w:val="26"/>
          <w:shd w:val="clear" w:color="auto" w:fill="FFFFFF"/>
        </w:rPr>
        <w:t>A Comissão de Finanças e Orçamento analisou os documentos referentes ao exercício de 2</w:t>
      </w:r>
      <w:r w:rsidRPr="00E232A6" w:rsidR="00E6234E">
        <w:rPr>
          <w:sz w:val="26"/>
          <w:szCs w:val="26"/>
          <w:shd w:val="clear" w:color="auto" w:fill="FFFFFF"/>
        </w:rPr>
        <w:t>.</w:t>
      </w:r>
      <w:r w:rsidRPr="00E232A6">
        <w:rPr>
          <w:sz w:val="26"/>
          <w:szCs w:val="26"/>
          <w:shd w:val="clear" w:color="auto" w:fill="FFFFFF"/>
        </w:rPr>
        <w:t>017, disponibilizados pelo Tribunal Contas, ouviu os ex-secretários e servidores públicos da Prefeitura Municipal de Mogi Mirim,  analisou às portarias</w:t>
      </w:r>
      <w:r w:rsidRPr="00E232A6">
        <w:rPr>
          <w:sz w:val="26"/>
          <w:szCs w:val="26"/>
          <w:shd w:val="clear" w:color="auto" w:fill="FFFFFF"/>
        </w:rPr>
        <w:t>, leis</w:t>
      </w:r>
      <w:r w:rsidRPr="00E232A6">
        <w:rPr>
          <w:sz w:val="26"/>
          <w:szCs w:val="26"/>
          <w:shd w:val="clear" w:color="auto" w:fill="FFFFFF"/>
        </w:rPr>
        <w:t xml:space="preserve"> e decretos formulados pelo gestor para negociação com antigos fornecedores, assim como dívidas com INSS e SAAE e houve um consenso que o ex-Prefeito Carlos Nelson Bueno e sua equipe técnica com suas arguições alteraram o entendimento pacificado do Tribunal de Contas, provando, através de documentos</w:t>
      </w:r>
      <w:r w:rsidRPr="00E232A6">
        <w:rPr>
          <w:sz w:val="26"/>
          <w:szCs w:val="26"/>
          <w:shd w:val="clear" w:color="auto" w:fill="FFFFFF"/>
        </w:rPr>
        <w:t xml:space="preserve"> acostados</w:t>
      </w:r>
      <w:r w:rsidRPr="00E232A6">
        <w:rPr>
          <w:sz w:val="26"/>
          <w:szCs w:val="26"/>
          <w:shd w:val="clear" w:color="auto" w:fill="FFFFFF"/>
        </w:rPr>
        <w:t xml:space="preserve"> nos autos do processo</w:t>
      </w:r>
      <w:r w:rsidRPr="00E232A6" w:rsidR="008738CB">
        <w:rPr>
          <w:sz w:val="26"/>
          <w:szCs w:val="26"/>
          <w:shd w:val="clear" w:color="auto" w:fill="FFFFFF"/>
        </w:rPr>
        <w:t>,</w:t>
      </w:r>
      <w:r w:rsidRPr="00E232A6">
        <w:rPr>
          <w:sz w:val="26"/>
          <w:szCs w:val="26"/>
          <w:shd w:val="clear" w:color="auto" w:fill="FFFFFF"/>
        </w:rPr>
        <w:t xml:space="preserve"> que apesar de não ter cumprido a legislação, não houve dolo no ato praticado pelo ex-prefeito. </w:t>
      </w:r>
    </w:p>
    <w:p w:rsidR="005D24F4" w:rsidRPr="00E232A6" w:rsidP="00AD3A84" w14:paraId="0D6E96EE" w14:textId="77777777">
      <w:pPr>
        <w:spacing w:before="240" w:after="240"/>
        <w:contextualSpacing/>
        <w:jc w:val="both"/>
        <w:rPr>
          <w:sz w:val="26"/>
          <w:szCs w:val="26"/>
          <w:shd w:val="clear" w:color="auto" w:fill="FFFFFF"/>
        </w:rPr>
      </w:pPr>
    </w:p>
    <w:p w:rsidR="00EB7A3F" w:rsidRPr="00E232A6" w:rsidP="00AD3A84" w14:paraId="056E897D" w14:textId="027D3A4C">
      <w:pPr>
        <w:spacing w:before="240" w:after="240"/>
        <w:contextualSpacing/>
        <w:jc w:val="both"/>
        <w:rPr>
          <w:sz w:val="26"/>
          <w:szCs w:val="26"/>
          <w:u w:val="single"/>
        </w:rPr>
      </w:pPr>
      <w:r w:rsidRPr="00E232A6">
        <w:rPr>
          <w:sz w:val="26"/>
          <w:szCs w:val="26"/>
          <w:shd w:val="clear" w:color="auto" w:fill="FFFFFF"/>
        </w:rPr>
        <w:t xml:space="preserve">Portanto, esta Comissão se manifesta de modo a </w:t>
      </w:r>
      <w:r w:rsidRPr="00E232A6">
        <w:rPr>
          <w:b/>
          <w:bCs/>
          <w:sz w:val="26"/>
          <w:szCs w:val="26"/>
          <w:shd w:val="clear" w:color="auto" w:fill="FFFFFF"/>
        </w:rPr>
        <w:t>CONCORDAR</w:t>
      </w:r>
      <w:r w:rsidRPr="00E232A6">
        <w:rPr>
          <w:sz w:val="26"/>
          <w:szCs w:val="26"/>
          <w:shd w:val="clear" w:color="auto" w:fill="FFFFFF"/>
        </w:rPr>
        <w:t xml:space="preserve"> com a decisão do </w:t>
      </w:r>
      <w:r w:rsidRPr="00E232A6">
        <w:rPr>
          <w:sz w:val="26"/>
          <w:szCs w:val="26"/>
        </w:rPr>
        <w:t xml:space="preserve">TCE-SP, </w:t>
      </w:r>
      <w:r w:rsidRPr="00E232A6">
        <w:rPr>
          <w:sz w:val="26"/>
          <w:szCs w:val="26"/>
          <w:u w:val="single"/>
        </w:rPr>
        <w:t>opinando pela </w:t>
      </w:r>
      <w:r w:rsidRPr="00E232A6">
        <w:rPr>
          <w:b/>
          <w:bCs/>
          <w:sz w:val="26"/>
          <w:szCs w:val="26"/>
          <w:u w:val="single"/>
        </w:rPr>
        <w:t>APROVAÇÃO</w:t>
      </w:r>
      <w:r w:rsidRPr="00E232A6">
        <w:rPr>
          <w:sz w:val="26"/>
          <w:szCs w:val="26"/>
          <w:u w:val="single"/>
        </w:rPr>
        <w:t xml:space="preserve"> das Contas da Prefeitura Municipal de Mogi Mirim</w:t>
      </w:r>
      <w:r w:rsidRPr="00E232A6" w:rsidR="0044385A">
        <w:rPr>
          <w:sz w:val="26"/>
          <w:szCs w:val="26"/>
          <w:u w:val="single"/>
        </w:rPr>
        <w:t>,</w:t>
      </w:r>
      <w:r w:rsidRPr="00E232A6">
        <w:rPr>
          <w:sz w:val="26"/>
          <w:szCs w:val="26"/>
          <w:u w:val="single"/>
        </w:rPr>
        <w:t xml:space="preserve"> para o exercício fiscal de 2</w:t>
      </w:r>
      <w:r w:rsidRPr="00E232A6" w:rsidR="003054AB">
        <w:rPr>
          <w:sz w:val="26"/>
          <w:szCs w:val="26"/>
          <w:u w:val="single"/>
        </w:rPr>
        <w:t>.</w:t>
      </w:r>
      <w:r w:rsidRPr="00E232A6">
        <w:rPr>
          <w:sz w:val="26"/>
          <w:szCs w:val="26"/>
          <w:u w:val="single"/>
        </w:rPr>
        <w:t>017. </w:t>
      </w:r>
    </w:p>
    <w:p w:rsidR="00B30E47" w:rsidRPr="00E232A6" w:rsidP="00AD3A84" w14:paraId="5A86B0FB" w14:textId="4BBFF507">
      <w:pPr>
        <w:spacing w:before="240" w:after="240"/>
        <w:contextualSpacing/>
        <w:jc w:val="both"/>
        <w:rPr>
          <w:sz w:val="26"/>
          <w:szCs w:val="26"/>
        </w:rPr>
      </w:pPr>
    </w:p>
    <w:p w:rsidR="00B17502" w:rsidRPr="00E232A6" w:rsidP="00AD3A84" w14:paraId="1E27E49D" w14:textId="77777777">
      <w:pPr>
        <w:spacing w:before="240" w:after="240"/>
        <w:contextualSpacing/>
        <w:jc w:val="both"/>
        <w:rPr>
          <w:sz w:val="26"/>
          <w:szCs w:val="26"/>
        </w:rPr>
      </w:pPr>
    </w:p>
    <w:p w:rsidR="00EB7A3F" w:rsidRPr="00E232A6" w:rsidP="00AD3A84" w14:paraId="36AE4AB1" w14:textId="352C9BC4">
      <w:pPr>
        <w:spacing w:before="240" w:after="240"/>
        <w:contextualSpacing/>
        <w:jc w:val="center"/>
        <w:rPr>
          <w:sz w:val="26"/>
          <w:szCs w:val="26"/>
          <w:shd w:val="clear" w:color="auto" w:fill="FFFFFF"/>
        </w:rPr>
      </w:pPr>
      <w:r w:rsidRPr="00E232A6">
        <w:rPr>
          <w:sz w:val="26"/>
          <w:szCs w:val="26"/>
          <w:shd w:val="clear" w:color="auto" w:fill="FFFFFF"/>
        </w:rPr>
        <w:t xml:space="preserve">Sala das Comissões, </w:t>
      </w:r>
      <w:r w:rsidR="00151A0E">
        <w:rPr>
          <w:sz w:val="26"/>
          <w:szCs w:val="26"/>
          <w:shd w:val="clear" w:color="auto" w:fill="FFFFFF"/>
        </w:rPr>
        <w:t>19</w:t>
      </w:r>
      <w:r w:rsidRPr="00E232A6">
        <w:rPr>
          <w:sz w:val="26"/>
          <w:szCs w:val="26"/>
          <w:shd w:val="clear" w:color="auto" w:fill="FFFFFF"/>
        </w:rPr>
        <w:t xml:space="preserve"> de abril de 2</w:t>
      </w:r>
      <w:r w:rsidRPr="00E232A6" w:rsidR="003054AB">
        <w:rPr>
          <w:sz w:val="26"/>
          <w:szCs w:val="26"/>
          <w:shd w:val="clear" w:color="auto" w:fill="FFFFFF"/>
        </w:rPr>
        <w:t>.</w:t>
      </w:r>
      <w:r w:rsidRPr="00E232A6">
        <w:rPr>
          <w:sz w:val="26"/>
          <w:szCs w:val="26"/>
          <w:shd w:val="clear" w:color="auto" w:fill="FFFFFF"/>
        </w:rPr>
        <w:t>021.</w:t>
      </w:r>
    </w:p>
    <w:p w:rsidR="003054AB" w:rsidRPr="00E232A6" w:rsidP="00AD3A84" w14:paraId="5D186D31" w14:textId="77777777">
      <w:pPr>
        <w:spacing w:before="240" w:after="240"/>
        <w:contextualSpacing/>
        <w:jc w:val="center"/>
        <w:rPr>
          <w:sz w:val="26"/>
          <w:szCs w:val="26"/>
        </w:rPr>
      </w:pPr>
    </w:p>
    <w:p w:rsidR="00EB7A3F" w:rsidRPr="00E232A6" w:rsidP="00AD3A84" w14:paraId="0D967A42" w14:textId="0997D2E0">
      <w:pPr>
        <w:spacing w:before="240" w:after="240"/>
        <w:contextualSpacing/>
        <w:jc w:val="center"/>
        <w:rPr>
          <w:sz w:val="26"/>
          <w:szCs w:val="26"/>
        </w:rPr>
      </w:pPr>
      <w:r w:rsidRPr="00E232A6">
        <w:rPr>
          <w:b/>
          <w:bCs/>
          <w:sz w:val="26"/>
          <w:szCs w:val="26"/>
          <w:u w:val="single"/>
          <w:shd w:val="clear" w:color="auto" w:fill="FFFFFF"/>
        </w:rPr>
        <w:t>COMISSÃO DE FINANÇAS E ORÇAMENTO</w:t>
      </w:r>
    </w:p>
    <w:p w:rsidR="00B30E47" w:rsidRPr="00E232A6" w:rsidP="00AD3A84" w14:paraId="20818DCE" w14:textId="2529D4AE">
      <w:pPr>
        <w:spacing w:before="240" w:after="240"/>
        <w:contextualSpacing/>
        <w:jc w:val="center"/>
        <w:rPr>
          <w:sz w:val="26"/>
          <w:szCs w:val="26"/>
        </w:rPr>
      </w:pPr>
    </w:p>
    <w:p w:rsidR="00B30E47" w:rsidRPr="00E232A6" w:rsidP="00AD3A84" w14:paraId="50D0DD91" w14:textId="77D0F304">
      <w:pPr>
        <w:spacing w:before="240" w:after="240"/>
        <w:contextualSpacing/>
        <w:jc w:val="center"/>
        <w:rPr>
          <w:sz w:val="26"/>
          <w:szCs w:val="26"/>
        </w:rPr>
      </w:pPr>
    </w:p>
    <w:p w:rsidR="00B30E47" w:rsidRPr="00E232A6" w:rsidP="00AD3A84" w14:paraId="2607DD83" w14:textId="16C9A436">
      <w:pPr>
        <w:spacing w:before="240" w:after="240"/>
        <w:contextualSpacing/>
        <w:jc w:val="center"/>
        <w:rPr>
          <w:sz w:val="26"/>
          <w:szCs w:val="26"/>
        </w:rPr>
      </w:pPr>
    </w:p>
    <w:p w:rsidR="00B30E47" w:rsidRPr="00E232A6" w:rsidP="00AD3A84" w14:paraId="50AD793E" w14:textId="5BAC2DD5">
      <w:pPr>
        <w:spacing w:before="240" w:after="240"/>
        <w:contextualSpacing/>
        <w:jc w:val="center"/>
        <w:rPr>
          <w:sz w:val="26"/>
          <w:szCs w:val="26"/>
        </w:rPr>
      </w:pPr>
    </w:p>
    <w:p w:rsidR="00B30E47" w:rsidRPr="00E232A6" w:rsidP="00AD3A84" w14:paraId="77673525" w14:textId="77777777">
      <w:pPr>
        <w:spacing w:before="240" w:after="240"/>
        <w:contextualSpacing/>
        <w:jc w:val="center"/>
        <w:rPr>
          <w:sz w:val="26"/>
          <w:szCs w:val="26"/>
        </w:rPr>
      </w:pPr>
    </w:p>
    <w:p w:rsidR="00EB7A3F" w:rsidRPr="00E232A6" w:rsidP="00AD3A84" w14:paraId="178A2695" w14:textId="066652F2">
      <w:pPr>
        <w:spacing w:before="240" w:after="240"/>
        <w:contextualSpacing/>
        <w:jc w:val="center"/>
        <w:rPr>
          <w:sz w:val="26"/>
          <w:szCs w:val="26"/>
        </w:rPr>
      </w:pPr>
      <w:r w:rsidRPr="00E232A6">
        <w:rPr>
          <w:b/>
          <w:bCs/>
          <w:sz w:val="26"/>
          <w:szCs w:val="26"/>
          <w:shd w:val="clear" w:color="auto" w:fill="FFFFFF"/>
        </w:rPr>
        <w:t>VEREADOR MARCOS PAULO CEGATTI</w:t>
      </w:r>
    </w:p>
    <w:p w:rsidR="00EB7A3F" w:rsidRPr="00E232A6" w:rsidP="00AD3A84" w14:paraId="29F6CF8A" w14:textId="538EBBBD">
      <w:pPr>
        <w:spacing w:before="240" w:after="240"/>
        <w:contextualSpacing/>
        <w:jc w:val="center"/>
        <w:rPr>
          <w:sz w:val="26"/>
          <w:szCs w:val="26"/>
          <w:shd w:val="clear" w:color="auto" w:fill="FFFFFF"/>
        </w:rPr>
      </w:pPr>
      <w:r w:rsidRPr="00E232A6">
        <w:rPr>
          <w:sz w:val="26"/>
          <w:szCs w:val="26"/>
          <w:shd w:val="clear" w:color="auto" w:fill="FFFFFF"/>
        </w:rPr>
        <w:t> Presidente</w:t>
      </w:r>
      <w:r w:rsidR="00522554">
        <w:rPr>
          <w:sz w:val="26"/>
          <w:szCs w:val="26"/>
          <w:shd w:val="clear" w:color="auto" w:fill="FFFFFF"/>
        </w:rPr>
        <w:t xml:space="preserve"> - Relator</w:t>
      </w:r>
    </w:p>
    <w:p w:rsidR="003054AB" w:rsidRPr="00E232A6" w:rsidP="00AD3A84" w14:paraId="45E787E8" w14:textId="5E559DF4">
      <w:pPr>
        <w:spacing w:before="240" w:after="240"/>
        <w:contextualSpacing/>
        <w:jc w:val="center"/>
        <w:rPr>
          <w:sz w:val="26"/>
          <w:szCs w:val="26"/>
          <w:shd w:val="clear" w:color="auto" w:fill="FFFFFF"/>
        </w:rPr>
      </w:pPr>
    </w:p>
    <w:p w:rsidR="003054AB" w:rsidRPr="00E232A6" w:rsidP="00AD3A84" w14:paraId="15998F35" w14:textId="590E7022">
      <w:pPr>
        <w:spacing w:before="240" w:after="240"/>
        <w:contextualSpacing/>
        <w:jc w:val="center"/>
        <w:rPr>
          <w:sz w:val="26"/>
          <w:szCs w:val="26"/>
          <w:shd w:val="clear" w:color="auto" w:fill="FFFFFF"/>
        </w:rPr>
      </w:pPr>
    </w:p>
    <w:p w:rsidR="003054AB" w:rsidRPr="00E232A6" w:rsidP="00AD3A84" w14:paraId="19F0BFF1" w14:textId="44003021">
      <w:pPr>
        <w:spacing w:before="240" w:after="240"/>
        <w:contextualSpacing/>
        <w:jc w:val="center"/>
        <w:rPr>
          <w:sz w:val="26"/>
          <w:szCs w:val="26"/>
          <w:shd w:val="clear" w:color="auto" w:fill="FFFFFF"/>
        </w:rPr>
      </w:pPr>
    </w:p>
    <w:p w:rsidR="003054AB" w:rsidRPr="00E232A6" w:rsidP="00AD3A84" w14:paraId="071C12FF" w14:textId="4D6EB471">
      <w:pPr>
        <w:spacing w:before="240" w:after="240"/>
        <w:contextualSpacing/>
        <w:jc w:val="center"/>
        <w:rPr>
          <w:sz w:val="26"/>
          <w:szCs w:val="26"/>
        </w:rPr>
      </w:pPr>
    </w:p>
    <w:p w:rsidR="00B30E47" w:rsidRPr="00E232A6" w:rsidP="00AD3A84" w14:paraId="2B0D3163" w14:textId="77777777">
      <w:pPr>
        <w:spacing w:before="240" w:after="240"/>
        <w:contextualSpacing/>
        <w:jc w:val="center"/>
        <w:rPr>
          <w:sz w:val="26"/>
          <w:szCs w:val="26"/>
        </w:rPr>
      </w:pPr>
    </w:p>
    <w:p w:rsidR="00EB7A3F" w:rsidRPr="00E232A6" w:rsidP="00AD3A84" w14:paraId="7C849774" w14:textId="77777777">
      <w:pPr>
        <w:spacing w:before="240" w:after="240"/>
        <w:contextualSpacing/>
        <w:jc w:val="center"/>
        <w:rPr>
          <w:sz w:val="26"/>
          <w:szCs w:val="26"/>
        </w:rPr>
      </w:pPr>
      <w:r w:rsidRPr="00E232A6">
        <w:rPr>
          <w:b/>
          <w:bCs/>
          <w:sz w:val="26"/>
          <w:szCs w:val="26"/>
          <w:shd w:val="clear" w:color="auto" w:fill="FFFFFF"/>
        </w:rPr>
        <w:t> VEREADOR ALEXANDRE CINTRA</w:t>
      </w:r>
    </w:p>
    <w:p w:rsidR="00EB7A3F" w:rsidRPr="00E232A6" w:rsidP="00AD3A84" w14:paraId="05B3316F" w14:textId="5731AF78">
      <w:pPr>
        <w:spacing w:before="240" w:after="240"/>
        <w:contextualSpacing/>
        <w:jc w:val="center"/>
        <w:rPr>
          <w:sz w:val="26"/>
          <w:szCs w:val="26"/>
          <w:shd w:val="clear" w:color="auto" w:fill="FFFFFF"/>
        </w:rPr>
      </w:pPr>
      <w:r w:rsidRPr="00E232A6">
        <w:rPr>
          <w:sz w:val="26"/>
          <w:szCs w:val="26"/>
          <w:shd w:val="clear" w:color="auto" w:fill="FFFFFF"/>
        </w:rPr>
        <w:t>Vice-Presidente</w:t>
      </w:r>
    </w:p>
    <w:p w:rsidR="003054AB" w:rsidRPr="00E232A6" w:rsidP="00AD3A84" w14:paraId="2825728D" w14:textId="3FA84A8A">
      <w:pPr>
        <w:spacing w:before="240" w:after="240"/>
        <w:contextualSpacing/>
        <w:jc w:val="center"/>
        <w:rPr>
          <w:sz w:val="26"/>
          <w:szCs w:val="26"/>
          <w:shd w:val="clear" w:color="auto" w:fill="FFFFFF"/>
        </w:rPr>
      </w:pPr>
    </w:p>
    <w:p w:rsidR="003054AB" w:rsidRPr="00E232A6" w:rsidP="00AD3A84" w14:paraId="36405644" w14:textId="5D3A4924">
      <w:pPr>
        <w:spacing w:before="240" w:after="240"/>
        <w:contextualSpacing/>
        <w:jc w:val="center"/>
        <w:rPr>
          <w:sz w:val="26"/>
          <w:szCs w:val="26"/>
          <w:shd w:val="clear" w:color="auto" w:fill="FFFFFF"/>
        </w:rPr>
      </w:pPr>
    </w:p>
    <w:p w:rsidR="003054AB" w:rsidRPr="00E232A6" w:rsidP="00AD3A84" w14:paraId="2014CD23" w14:textId="4312FF13">
      <w:pPr>
        <w:spacing w:before="240" w:after="240"/>
        <w:contextualSpacing/>
        <w:jc w:val="center"/>
        <w:rPr>
          <w:sz w:val="26"/>
          <w:szCs w:val="26"/>
        </w:rPr>
      </w:pPr>
    </w:p>
    <w:p w:rsidR="003054AB" w:rsidRPr="00E232A6" w:rsidP="00AD3A84" w14:paraId="4AD0603B" w14:textId="37089997">
      <w:pPr>
        <w:spacing w:before="240" w:after="240"/>
        <w:contextualSpacing/>
        <w:jc w:val="center"/>
        <w:rPr>
          <w:sz w:val="26"/>
          <w:szCs w:val="26"/>
        </w:rPr>
      </w:pPr>
    </w:p>
    <w:p w:rsidR="003054AB" w:rsidRPr="00E232A6" w:rsidP="00AD3A84" w14:paraId="02E7BD4D" w14:textId="77777777">
      <w:pPr>
        <w:spacing w:before="240" w:after="240"/>
        <w:contextualSpacing/>
        <w:jc w:val="center"/>
        <w:rPr>
          <w:sz w:val="26"/>
          <w:szCs w:val="26"/>
        </w:rPr>
      </w:pPr>
    </w:p>
    <w:p w:rsidR="00EB7A3F" w:rsidRPr="00E232A6" w:rsidP="00AD3A84" w14:paraId="467C1F34" w14:textId="77777777">
      <w:pPr>
        <w:spacing w:before="240" w:after="240"/>
        <w:contextualSpacing/>
        <w:jc w:val="center"/>
        <w:rPr>
          <w:sz w:val="26"/>
          <w:szCs w:val="26"/>
        </w:rPr>
      </w:pPr>
      <w:r w:rsidRPr="00E232A6">
        <w:rPr>
          <w:b/>
          <w:bCs/>
          <w:sz w:val="26"/>
          <w:szCs w:val="26"/>
          <w:shd w:val="clear" w:color="auto" w:fill="FFFFFF"/>
        </w:rPr>
        <w:t> VEREADORA MARA CRISTINA CHOQUETTA</w:t>
      </w:r>
    </w:p>
    <w:p w:rsidR="00EB7A3F" w:rsidRPr="00E232A6" w:rsidP="00AD3A84" w14:paraId="22C5EA5B" w14:textId="77777777">
      <w:pPr>
        <w:spacing w:before="240" w:after="240"/>
        <w:contextualSpacing/>
        <w:jc w:val="center"/>
        <w:rPr>
          <w:sz w:val="26"/>
          <w:szCs w:val="26"/>
        </w:rPr>
      </w:pPr>
      <w:r w:rsidRPr="00E232A6">
        <w:rPr>
          <w:sz w:val="26"/>
          <w:szCs w:val="26"/>
          <w:shd w:val="clear" w:color="auto" w:fill="FFFFFF"/>
        </w:rPr>
        <w:t>Membro</w:t>
      </w:r>
    </w:p>
    <w:p w:rsidR="009C642D" w:rsidP="00AD3A84" w14:paraId="280D0F74" w14:textId="6ED92BE3">
      <w:pPr>
        <w:contextualSpacing/>
        <w:jc w:val="center"/>
        <w:rPr>
          <w:rFonts w:ascii="Bookman Old Style" w:hAnsi="Bookman Old Style"/>
          <w:b/>
          <w:iCs/>
          <w:sz w:val="26"/>
          <w:szCs w:val="26"/>
        </w:rPr>
      </w:pPr>
    </w:p>
    <w:p w:rsidR="00CA3B55" w:rsidP="00AD3A84" w14:paraId="1C759EF3" w14:textId="675F90F0">
      <w:pPr>
        <w:contextualSpacing/>
        <w:jc w:val="center"/>
        <w:rPr>
          <w:rFonts w:ascii="Bookman Old Style" w:hAnsi="Bookman Old Style"/>
          <w:b/>
          <w:iCs/>
          <w:sz w:val="26"/>
          <w:szCs w:val="26"/>
        </w:rPr>
      </w:pPr>
    </w:p>
    <w:p w:rsidR="00CA3B55" w:rsidP="00AD3A84" w14:paraId="58483E06" w14:textId="6680492A">
      <w:pPr>
        <w:contextualSpacing/>
        <w:jc w:val="center"/>
        <w:rPr>
          <w:rFonts w:ascii="Bookman Old Style" w:hAnsi="Bookman Old Style"/>
          <w:b/>
          <w:iCs/>
          <w:sz w:val="26"/>
          <w:szCs w:val="26"/>
        </w:rPr>
      </w:pPr>
    </w:p>
    <w:p w:rsidR="00CA3B55" w:rsidRPr="00CA3B55" w:rsidP="00DC74B9" w14:paraId="7A268EF8" w14:textId="5B23878F">
      <w:pPr>
        <w:pStyle w:val="NormalWeb"/>
        <w:spacing w:before="240" w:beforeAutospacing="0" w:after="240" w:afterAutospacing="0"/>
        <w:rPr>
          <w:rFonts w:ascii="Bookman Old Style" w:hAnsi="Bookman Old Style"/>
          <w:b/>
          <w:iCs/>
        </w:rPr>
      </w:pPr>
    </w:p>
    <w:sectPr>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32150276"/>
      <w:docPartObj>
        <w:docPartGallery w:val="Page Numbers (Bottom of Page)"/>
        <w:docPartUnique/>
      </w:docPartObj>
    </w:sdtPr>
    <w:sdtContent>
      <w:p w:rsidR="00151A0E" w14:paraId="286E6AE6" w14:textId="565D485E">
        <w:pPr>
          <w:pStyle w:val="Footer"/>
          <w:jc w:val="right"/>
        </w:pPr>
        <w:r>
          <w:fldChar w:fldCharType="begin"/>
        </w:r>
        <w:r>
          <w:instrText>PAGE   \* MERGEFORMAT</w:instrText>
        </w:r>
        <w:r>
          <w:fldChar w:fldCharType="separate"/>
        </w:r>
        <w:r>
          <w:t>2</w:t>
        </w:r>
        <w:r>
          <w:fldChar w:fldCharType="end"/>
        </w:r>
      </w:p>
    </w:sdtContent>
  </w:sdt>
  <w:p w:rsidR="00151A0E" w:rsidRPr="00522A34" w:rsidP="00EB22C5" w14:paraId="7786C273" w14:textId="6C76E650">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A0E" w14:paraId="3D7C2113"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1A0E" w14:paraId="5E0D9E9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51A0E" w14:paraId="79181617" w14:textId="77777777">
    <w:pPr>
      <w:pStyle w:val="Header"/>
      <w:framePr w:wrap="around" w:vAnchor="text" w:hAnchor="margin" w:xAlign="right" w:y="1"/>
      <w:rPr>
        <w:rStyle w:val="PageNumber"/>
      </w:rPr>
    </w:pPr>
  </w:p>
  <w:p w:rsidR="00151A0E" w:rsidRPr="009C7EB6" w:rsidP="00BA4561" w14:paraId="2C145BE1" w14:textId="77777777">
    <w:pPr>
      <w:pStyle w:val="Header"/>
      <w:tabs>
        <w:tab w:val="clear" w:pos="4419"/>
        <w:tab w:val="right" w:pos="7513"/>
        <w:tab w:val="clear" w:pos="8838"/>
      </w:tabs>
      <w:jc w:val="center"/>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5835"/>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525338"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C7EB6">
      <w:rPr>
        <w:rFonts w:ascii="Bookman Old Style" w:hAnsi="Bookman Old Style"/>
        <w:b/>
        <w:sz w:val="34"/>
      </w:rPr>
      <w:t>CÂMARA MUNICIPAL DE MOGI MIRIM</w:t>
    </w:r>
  </w:p>
  <w:p w:rsidR="00151A0E" w:rsidRPr="009C7EB6" w:rsidP="00BA4561" w14:paraId="24159364" w14:textId="77777777">
    <w:pPr>
      <w:pStyle w:val="Header"/>
      <w:tabs>
        <w:tab w:val="clear" w:pos="4419"/>
        <w:tab w:val="right" w:pos="7513"/>
        <w:tab w:val="clear" w:pos="8838"/>
      </w:tabs>
      <w:jc w:val="center"/>
      <w:rPr>
        <w:rFonts w:ascii="Bookman Old Style" w:hAnsi="Bookman Old Style"/>
        <w:b/>
        <w:sz w:val="24"/>
      </w:rPr>
    </w:pPr>
    <w:r w:rsidRPr="009C7EB6">
      <w:rPr>
        <w:rFonts w:ascii="Bookman Old Style" w:hAnsi="Bookman Old Style"/>
        <w:b/>
        <w:sz w:val="24"/>
      </w:rPr>
      <w:t>Estado de São Paulo</w:t>
    </w:r>
  </w:p>
  <w:p w:rsidR="00151A0E" w:rsidP="00BA4561" w14:paraId="6AC43632" w14:textId="6B55D9CE">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Comissão de Finanças e Orçamento</w:t>
    </w:r>
  </w:p>
  <w:p w:rsidR="00151A0E" w:rsidP="00BA4561" w14:paraId="57919804" w14:textId="0781A5C0">
    <w:pPr>
      <w:pStyle w:val="Header"/>
      <w:tabs>
        <w:tab w:val="clear" w:pos="4419"/>
        <w:tab w:val="right" w:pos="7513"/>
        <w:tab w:val="clear" w:pos="8838"/>
      </w:tabs>
      <w:jc w:val="center"/>
      <w:rPr>
        <w:rFonts w:ascii="Bookman Old Style" w:hAnsi="Bookman Old Style"/>
        <w:b/>
        <w:sz w:val="24"/>
      </w:rPr>
    </w:pPr>
  </w:p>
  <w:p w:rsidR="00151A0E" w:rsidRPr="009C7EB6" w:rsidP="00597905" w14:paraId="13C0777E" w14:textId="71B4F83D">
    <w:pPr>
      <w:pStyle w:val="Header"/>
      <w:tabs>
        <w:tab w:val="clear" w:pos="4419"/>
        <w:tab w:val="right" w:pos="7513"/>
        <w:tab w:val="clear" w:pos="8838"/>
      </w:tabs>
      <w:rPr>
        <w:rFonts w:ascii="Bookman Old Style" w:hAnsi="Bookman Old Sty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C22CFA"/>
    <w:multiLevelType w:val="multilevel"/>
    <w:tmpl w:val="7CA4F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966B05"/>
    <w:multiLevelType w:val="multilevel"/>
    <w:tmpl w:val="C5DC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C30E26"/>
    <w:multiLevelType w:val="multilevel"/>
    <w:tmpl w:val="E31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D20E1E"/>
    <w:multiLevelType w:val="multilevel"/>
    <w:tmpl w:val="AAC01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8D412B"/>
    <w:multiLevelType w:val="multilevel"/>
    <w:tmpl w:val="7D34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02985"/>
    <w:multiLevelType w:val="multilevel"/>
    <w:tmpl w:val="1362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134B11"/>
    <w:multiLevelType w:val="multilevel"/>
    <w:tmpl w:val="0E124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807E4C"/>
    <w:multiLevelType w:val="hybridMultilevel"/>
    <w:tmpl w:val="0456A6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C7684C"/>
    <w:multiLevelType w:val="multilevel"/>
    <w:tmpl w:val="F28A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C8B0EE1"/>
    <w:multiLevelType w:val="multilevel"/>
    <w:tmpl w:val="E00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E473D3"/>
    <w:multiLevelType w:val="multilevel"/>
    <w:tmpl w:val="8BC6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7542F"/>
    <w:multiLevelType w:val="multilevel"/>
    <w:tmpl w:val="C862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4261F6"/>
    <w:multiLevelType w:val="multilevel"/>
    <w:tmpl w:val="D9D6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9E504F"/>
    <w:multiLevelType w:val="hybridMultilevel"/>
    <w:tmpl w:val="66AEA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58A1300"/>
    <w:multiLevelType w:val="multilevel"/>
    <w:tmpl w:val="3984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EB582F"/>
    <w:multiLevelType w:val="multilevel"/>
    <w:tmpl w:val="7636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375E98"/>
    <w:multiLevelType w:val="multilevel"/>
    <w:tmpl w:val="4A32B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68148E"/>
    <w:multiLevelType w:val="hybridMultilevel"/>
    <w:tmpl w:val="9C2493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B3469D"/>
    <w:multiLevelType w:val="hybridMultilevel"/>
    <w:tmpl w:val="50509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973DB2"/>
    <w:multiLevelType w:val="multilevel"/>
    <w:tmpl w:val="1D26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D35068"/>
    <w:multiLevelType w:val="multilevel"/>
    <w:tmpl w:val="C2B2A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AA0A6F"/>
    <w:multiLevelType w:val="multilevel"/>
    <w:tmpl w:val="C8E2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CC218E"/>
    <w:multiLevelType w:val="multilevel"/>
    <w:tmpl w:val="FECA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FE5D20"/>
    <w:multiLevelType w:val="multilevel"/>
    <w:tmpl w:val="BE4C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A017A13"/>
    <w:multiLevelType w:val="multilevel"/>
    <w:tmpl w:val="D862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7D6091"/>
    <w:multiLevelType w:val="multilevel"/>
    <w:tmpl w:val="EC8C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C76D69"/>
    <w:multiLevelType w:val="multilevel"/>
    <w:tmpl w:val="3388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4496B4A"/>
    <w:multiLevelType w:val="hybridMultilevel"/>
    <w:tmpl w:val="9A7277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743FE7"/>
    <w:multiLevelType w:val="multilevel"/>
    <w:tmpl w:val="AA96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8"/>
  </w:num>
  <w:num w:numId="3">
    <w:abstractNumId w:val="3"/>
  </w:num>
  <w:num w:numId="4">
    <w:abstractNumId w:val="20"/>
  </w:num>
  <w:num w:numId="5">
    <w:abstractNumId w:val="9"/>
  </w:num>
  <w:num w:numId="6">
    <w:abstractNumId w:val="4"/>
  </w:num>
  <w:num w:numId="7">
    <w:abstractNumId w:val="24"/>
  </w:num>
  <w:num w:numId="8">
    <w:abstractNumId w:val="8"/>
  </w:num>
  <w:num w:numId="9">
    <w:abstractNumId w:val="25"/>
  </w:num>
  <w:num w:numId="10">
    <w:abstractNumId w:val="15"/>
  </w:num>
  <w:num w:numId="11">
    <w:abstractNumId w:val="16"/>
  </w:num>
  <w:num w:numId="12">
    <w:abstractNumId w:val="10"/>
  </w:num>
  <w:num w:numId="13">
    <w:abstractNumId w:val="22"/>
  </w:num>
  <w:num w:numId="14">
    <w:abstractNumId w:val="2"/>
  </w:num>
  <w:num w:numId="15">
    <w:abstractNumId w:val="6"/>
  </w:num>
  <w:num w:numId="16">
    <w:abstractNumId w:val="1"/>
  </w:num>
  <w:num w:numId="17">
    <w:abstractNumId w:val="5"/>
  </w:num>
  <w:num w:numId="18">
    <w:abstractNumId w:val="21"/>
  </w:num>
  <w:num w:numId="19">
    <w:abstractNumId w:val="23"/>
  </w:num>
  <w:num w:numId="20">
    <w:abstractNumId w:val="14"/>
  </w:num>
  <w:num w:numId="21">
    <w:abstractNumId w:val="0"/>
  </w:num>
  <w:num w:numId="22">
    <w:abstractNumId w:val="11"/>
  </w:num>
  <w:num w:numId="23">
    <w:abstractNumId w:val="12"/>
  </w:num>
  <w:num w:numId="24">
    <w:abstractNumId w:val="26"/>
  </w:num>
  <w:num w:numId="25">
    <w:abstractNumId w:val="7"/>
  </w:num>
  <w:num w:numId="26">
    <w:abstractNumId w:val="17"/>
  </w:num>
  <w:num w:numId="27">
    <w:abstractNumId w:val="18"/>
  </w:num>
  <w:num w:numId="28">
    <w:abstractNumId w:val="27"/>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3D"/>
    <w:rsid w:val="0000321F"/>
    <w:rsid w:val="00004D28"/>
    <w:rsid w:val="00022770"/>
    <w:rsid w:val="00024295"/>
    <w:rsid w:val="000246CE"/>
    <w:rsid w:val="00026714"/>
    <w:rsid w:val="00034148"/>
    <w:rsid w:val="00037CCA"/>
    <w:rsid w:val="00040937"/>
    <w:rsid w:val="0004317F"/>
    <w:rsid w:val="00043E09"/>
    <w:rsid w:val="00046342"/>
    <w:rsid w:val="00046775"/>
    <w:rsid w:val="00050FD9"/>
    <w:rsid w:val="000579DC"/>
    <w:rsid w:val="00061134"/>
    <w:rsid w:val="00066687"/>
    <w:rsid w:val="00070073"/>
    <w:rsid w:val="000764EE"/>
    <w:rsid w:val="000777D1"/>
    <w:rsid w:val="00084500"/>
    <w:rsid w:val="00091ECA"/>
    <w:rsid w:val="00095B2B"/>
    <w:rsid w:val="000964BD"/>
    <w:rsid w:val="00096CB2"/>
    <w:rsid w:val="000A2C73"/>
    <w:rsid w:val="000B0593"/>
    <w:rsid w:val="000B3048"/>
    <w:rsid w:val="000B57FF"/>
    <w:rsid w:val="000C08FF"/>
    <w:rsid w:val="000C0DA8"/>
    <w:rsid w:val="000C6B58"/>
    <w:rsid w:val="000D2AE5"/>
    <w:rsid w:val="000D61CA"/>
    <w:rsid w:val="000E0AE1"/>
    <w:rsid w:val="000E2832"/>
    <w:rsid w:val="000F13E6"/>
    <w:rsid w:val="000F3E85"/>
    <w:rsid w:val="000F48DB"/>
    <w:rsid w:val="000F6349"/>
    <w:rsid w:val="000F7FB9"/>
    <w:rsid w:val="00104CEE"/>
    <w:rsid w:val="0010665A"/>
    <w:rsid w:val="00121869"/>
    <w:rsid w:val="00151A0E"/>
    <w:rsid w:val="0016265F"/>
    <w:rsid w:val="00165AED"/>
    <w:rsid w:val="00170B13"/>
    <w:rsid w:val="00177014"/>
    <w:rsid w:val="0018202E"/>
    <w:rsid w:val="001849F3"/>
    <w:rsid w:val="00192D16"/>
    <w:rsid w:val="001A527C"/>
    <w:rsid w:val="001A6A11"/>
    <w:rsid w:val="001B2559"/>
    <w:rsid w:val="001B274A"/>
    <w:rsid w:val="001B372F"/>
    <w:rsid w:val="001B783D"/>
    <w:rsid w:val="001C2C16"/>
    <w:rsid w:val="001C3421"/>
    <w:rsid w:val="001D2313"/>
    <w:rsid w:val="001D3A8B"/>
    <w:rsid w:val="001E037C"/>
    <w:rsid w:val="001E7C1B"/>
    <w:rsid w:val="00216D6E"/>
    <w:rsid w:val="002245A2"/>
    <w:rsid w:val="00233365"/>
    <w:rsid w:val="0024114F"/>
    <w:rsid w:val="00243F70"/>
    <w:rsid w:val="00244B45"/>
    <w:rsid w:val="00244E8D"/>
    <w:rsid w:val="002529B8"/>
    <w:rsid w:val="00265431"/>
    <w:rsid w:val="00270422"/>
    <w:rsid w:val="002709B4"/>
    <w:rsid w:val="00270C39"/>
    <w:rsid w:val="00281055"/>
    <w:rsid w:val="0028380C"/>
    <w:rsid w:val="002A184B"/>
    <w:rsid w:val="002A19DA"/>
    <w:rsid w:val="002A698A"/>
    <w:rsid w:val="002B1F3B"/>
    <w:rsid w:val="002C1545"/>
    <w:rsid w:val="002C7A76"/>
    <w:rsid w:val="002E0DCB"/>
    <w:rsid w:val="002E14C8"/>
    <w:rsid w:val="002E157A"/>
    <w:rsid w:val="002E1B9A"/>
    <w:rsid w:val="002E3E1A"/>
    <w:rsid w:val="002E4764"/>
    <w:rsid w:val="002F459D"/>
    <w:rsid w:val="002F47F3"/>
    <w:rsid w:val="00300C4B"/>
    <w:rsid w:val="003054AB"/>
    <w:rsid w:val="00307D45"/>
    <w:rsid w:val="0031099F"/>
    <w:rsid w:val="003135B5"/>
    <w:rsid w:val="00322FA8"/>
    <w:rsid w:val="00324E37"/>
    <w:rsid w:val="00331318"/>
    <w:rsid w:val="003348D9"/>
    <w:rsid w:val="00343579"/>
    <w:rsid w:val="00353B2B"/>
    <w:rsid w:val="00355B90"/>
    <w:rsid w:val="0036072E"/>
    <w:rsid w:val="0036544E"/>
    <w:rsid w:val="003707CB"/>
    <w:rsid w:val="0037177E"/>
    <w:rsid w:val="00373262"/>
    <w:rsid w:val="00375181"/>
    <w:rsid w:val="003815E5"/>
    <w:rsid w:val="0039075D"/>
    <w:rsid w:val="003A13E0"/>
    <w:rsid w:val="003A6BCC"/>
    <w:rsid w:val="003C6BEA"/>
    <w:rsid w:val="003D4AE1"/>
    <w:rsid w:val="003D5436"/>
    <w:rsid w:val="003E3BBC"/>
    <w:rsid w:val="003F15EB"/>
    <w:rsid w:val="003F4815"/>
    <w:rsid w:val="004014B5"/>
    <w:rsid w:val="004024C0"/>
    <w:rsid w:val="00403DA9"/>
    <w:rsid w:val="004058DE"/>
    <w:rsid w:val="004107B3"/>
    <w:rsid w:val="00410AF2"/>
    <w:rsid w:val="0041493A"/>
    <w:rsid w:val="00421001"/>
    <w:rsid w:val="00421B07"/>
    <w:rsid w:val="004269B0"/>
    <w:rsid w:val="00441BB6"/>
    <w:rsid w:val="0044385A"/>
    <w:rsid w:val="004517B0"/>
    <w:rsid w:val="00455DC3"/>
    <w:rsid w:val="00467570"/>
    <w:rsid w:val="00470B91"/>
    <w:rsid w:val="00471D4F"/>
    <w:rsid w:val="00471FC7"/>
    <w:rsid w:val="004743D1"/>
    <w:rsid w:val="00481935"/>
    <w:rsid w:val="00490DAA"/>
    <w:rsid w:val="00490F54"/>
    <w:rsid w:val="0049742C"/>
    <w:rsid w:val="00497D99"/>
    <w:rsid w:val="004A5CA9"/>
    <w:rsid w:val="004B1045"/>
    <w:rsid w:val="004B2B12"/>
    <w:rsid w:val="004C0AC6"/>
    <w:rsid w:val="004C3A32"/>
    <w:rsid w:val="004C4F1A"/>
    <w:rsid w:val="004D4097"/>
    <w:rsid w:val="004D4BA3"/>
    <w:rsid w:val="004E7B30"/>
    <w:rsid w:val="004F252E"/>
    <w:rsid w:val="00506090"/>
    <w:rsid w:val="0050695F"/>
    <w:rsid w:val="00507005"/>
    <w:rsid w:val="00510821"/>
    <w:rsid w:val="00511B7F"/>
    <w:rsid w:val="005147AB"/>
    <w:rsid w:val="00520B81"/>
    <w:rsid w:val="00521F4A"/>
    <w:rsid w:val="00522554"/>
    <w:rsid w:val="00522A34"/>
    <w:rsid w:val="00524186"/>
    <w:rsid w:val="0053479A"/>
    <w:rsid w:val="00544EBB"/>
    <w:rsid w:val="00545776"/>
    <w:rsid w:val="00545A3C"/>
    <w:rsid w:val="00551FA3"/>
    <w:rsid w:val="00557897"/>
    <w:rsid w:val="005678E1"/>
    <w:rsid w:val="00570CCE"/>
    <w:rsid w:val="0057282A"/>
    <w:rsid w:val="0057311B"/>
    <w:rsid w:val="0057477E"/>
    <w:rsid w:val="005829C9"/>
    <w:rsid w:val="005977BE"/>
    <w:rsid w:val="00597905"/>
    <w:rsid w:val="005B20BE"/>
    <w:rsid w:val="005B4F34"/>
    <w:rsid w:val="005D24F4"/>
    <w:rsid w:val="005F72DC"/>
    <w:rsid w:val="005F7FDE"/>
    <w:rsid w:val="00601B7D"/>
    <w:rsid w:val="00606E59"/>
    <w:rsid w:val="006277A5"/>
    <w:rsid w:val="00630754"/>
    <w:rsid w:val="00632741"/>
    <w:rsid w:val="006423BD"/>
    <w:rsid w:val="0064382A"/>
    <w:rsid w:val="006447D7"/>
    <w:rsid w:val="00650D2A"/>
    <w:rsid w:val="00685B25"/>
    <w:rsid w:val="006A0CFA"/>
    <w:rsid w:val="006A13AE"/>
    <w:rsid w:val="006A1667"/>
    <w:rsid w:val="006A22B9"/>
    <w:rsid w:val="006A30E9"/>
    <w:rsid w:val="006A659B"/>
    <w:rsid w:val="006A66DA"/>
    <w:rsid w:val="006A6816"/>
    <w:rsid w:val="006D1AB4"/>
    <w:rsid w:val="006D5C94"/>
    <w:rsid w:val="006D698D"/>
    <w:rsid w:val="006E534D"/>
    <w:rsid w:val="006E5DBF"/>
    <w:rsid w:val="006E6096"/>
    <w:rsid w:val="006F0B4B"/>
    <w:rsid w:val="007028AF"/>
    <w:rsid w:val="007051BE"/>
    <w:rsid w:val="0071292F"/>
    <w:rsid w:val="00713C38"/>
    <w:rsid w:val="00714378"/>
    <w:rsid w:val="0071572E"/>
    <w:rsid w:val="007224B1"/>
    <w:rsid w:val="00726350"/>
    <w:rsid w:val="00733C66"/>
    <w:rsid w:val="00733DB3"/>
    <w:rsid w:val="007471B1"/>
    <w:rsid w:val="00747DDF"/>
    <w:rsid w:val="0075268D"/>
    <w:rsid w:val="007549D1"/>
    <w:rsid w:val="007561F8"/>
    <w:rsid w:val="00772C4D"/>
    <w:rsid w:val="00785995"/>
    <w:rsid w:val="00792451"/>
    <w:rsid w:val="00797B0B"/>
    <w:rsid w:val="007A4D83"/>
    <w:rsid w:val="007B031C"/>
    <w:rsid w:val="007B2DAF"/>
    <w:rsid w:val="007B36A6"/>
    <w:rsid w:val="007B641A"/>
    <w:rsid w:val="007F16A6"/>
    <w:rsid w:val="007F186C"/>
    <w:rsid w:val="008029CA"/>
    <w:rsid w:val="008113B8"/>
    <w:rsid w:val="0082063D"/>
    <w:rsid w:val="00821D30"/>
    <w:rsid w:val="008272F8"/>
    <w:rsid w:val="00832CBB"/>
    <w:rsid w:val="008407E7"/>
    <w:rsid w:val="0084255C"/>
    <w:rsid w:val="008430EA"/>
    <w:rsid w:val="00843AE4"/>
    <w:rsid w:val="00845261"/>
    <w:rsid w:val="00847CF3"/>
    <w:rsid w:val="008633F8"/>
    <w:rsid w:val="008634BD"/>
    <w:rsid w:val="00866F1D"/>
    <w:rsid w:val="008738CB"/>
    <w:rsid w:val="00876B49"/>
    <w:rsid w:val="008828D2"/>
    <w:rsid w:val="00890C2A"/>
    <w:rsid w:val="008A34FD"/>
    <w:rsid w:val="008B1F9C"/>
    <w:rsid w:val="008B53A3"/>
    <w:rsid w:val="008C162B"/>
    <w:rsid w:val="008D34AB"/>
    <w:rsid w:val="008E30F7"/>
    <w:rsid w:val="008F0438"/>
    <w:rsid w:val="008F75FA"/>
    <w:rsid w:val="00901157"/>
    <w:rsid w:val="00903A23"/>
    <w:rsid w:val="00912432"/>
    <w:rsid w:val="00913219"/>
    <w:rsid w:val="00921E76"/>
    <w:rsid w:val="009263D3"/>
    <w:rsid w:val="0093395A"/>
    <w:rsid w:val="00933D0B"/>
    <w:rsid w:val="00935511"/>
    <w:rsid w:val="009468D3"/>
    <w:rsid w:val="009539A7"/>
    <w:rsid w:val="0098387D"/>
    <w:rsid w:val="00992D71"/>
    <w:rsid w:val="009A22D2"/>
    <w:rsid w:val="009B2E65"/>
    <w:rsid w:val="009C37A0"/>
    <w:rsid w:val="009C642D"/>
    <w:rsid w:val="009C6FC8"/>
    <w:rsid w:val="009C7EB6"/>
    <w:rsid w:val="009D7612"/>
    <w:rsid w:val="009E2377"/>
    <w:rsid w:val="009E61F7"/>
    <w:rsid w:val="009F16E5"/>
    <w:rsid w:val="009F747F"/>
    <w:rsid w:val="00A301AC"/>
    <w:rsid w:val="00A361AF"/>
    <w:rsid w:val="00A53012"/>
    <w:rsid w:val="00A727B5"/>
    <w:rsid w:val="00A83AC3"/>
    <w:rsid w:val="00A860E9"/>
    <w:rsid w:val="00A87CF4"/>
    <w:rsid w:val="00A87ED6"/>
    <w:rsid w:val="00AB0DDD"/>
    <w:rsid w:val="00AB205F"/>
    <w:rsid w:val="00AB6B51"/>
    <w:rsid w:val="00AC65E6"/>
    <w:rsid w:val="00AD3A84"/>
    <w:rsid w:val="00AE1E55"/>
    <w:rsid w:val="00AF24B6"/>
    <w:rsid w:val="00AF3628"/>
    <w:rsid w:val="00AF60CF"/>
    <w:rsid w:val="00B1182C"/>
    <w:rsid w:val="00B17502"/>
    <w:rsid w:val="00B25A5E"/>
    <w:rsid w:val="00B30E47"/>
    <w:rsid w:val="00B56535"/>
    <w:rsid w:val="00B5737B"/>
    <w:rsid w:val="00B6042C"/>
    <w:rsid w:val="00B81D00"/>
    <w:rsid w:val="00B86CB9"/>
    <w:rsid w:val="00B92BFE"/>
    <w:rsid w:val="00BA1843"/>
    <w:rsid w:val="00BA4561"/>
    <w:rsid w:val="00BB2350"/>
    <w:rsid w:val="00BB3308"/>
    <w:rsid w:val="00BC3319"/>
    <w:rsid w:val="00BD2C2A"/>
    <w:rsid w:val="00BD73A7"/>
    <w:rsid w:val="00BE71EC"/>
    <w:rsid w:val="00BF60CB"/>
    <w:rsid w:val="00BF7B62"/>
    <w:rsid w:val="00C07F8D"/>
    <w:rsid w:val="00C12D76"/>
    <w:rsid w:val="00C172EB"/>
    <w:rsid w:val="00C34B34"/>
    <w:rsid w:val="00C37145"/>
    <w:rsid w:val="00C377E9"/>
    <w:rsid w:val="00C45843"/>
    <w:rsid w:val="00C472FD"/>
    <w:rsid w:val="00C4743B"/>
    <w:rsid w:val="00C5643A"/>
    <w:rsid w:val="00C66E88"/>
    <w:rsid w:val="00C72157"/>
    <w:rsid w:val="00C77A55"/>
    <w:rsid w:val="00C83F14"/>
    <w:rsid w:val="00C8411A"/>
    <w:rsid w:val="00C875FB"/>
    <w:rsid w:val="00CA16FD"/>
    <w:rsid w:val="00CA1F87"/>
    <w:rsid w:val="00CA3B55"/>
    <w:rsid w:val="00CB064B"/>
    <w:rsid w:val="00CB54D1"/>
    <w:rsid w:val="00CB5EEF"/>
    <w:rsid w:val="00CC413F"/>
    <w:rsid w:val="00CD0029"/>
    <w:rsid w:val="00CD1D8A"/>
    <w:rsid w:val="00CD523D"/>
    <w:rsid w:val="00CD6594"/>
    <w:rsid w:val="00CE049F"/>
    <w:rsid w:val="00CE2046"/>
    <w:rsid w:val="00CE3111"/>
    <w:rsid w:val="00CF5746"/>
    <w:rsid w:val="00CF70DC"/>
    <w:rsid w:val="00D01F34"/>
    <w:rsid w:val="00D12971"/>
    <w:rsid w:val="00D16489"/>
    <w:rsid w:val="00D256AD"/>
    <w:rsid w:val="00D325F3"/>
    <w:rsid w:val="00D417EA"/>
    <w:rsid w:val="00D43725"/>
    <w:rsid w:val="00D456C3"/>
    <w:rsid w:val="00D5792B"/>
    <w:rsid w:val="00D602D5"/>
    <w:rsid w:val="00D73745"/>
    <w:rsid w:val="00D76820"/>
    <w:rsid w:val="00D87EDE"/>
    <w:rsid w:val="00DA0FC5"/>
    <w:rsid w:val="00DB1393"/>
    <w:rsid w:val="00DB2006"/>
    <w:rsid w:val="00DB6226"/>
    <w:rsid w:val="00DC1654"/>
    <w:rsid w:val="00DC55D9"/>
    <w:rsid w:val="00DC6752"/>
    <w:rsid w:val="00DC74B9"/>
    <w:rsid w:val="00DD10A4"/>
    <w:rsid w:val="00DD1870"/>
    <w:rsid w:val="00DD3EDD"/>
    <w:rsid w:val="00DD6D26"/>
    <w:rsid w:val="00DE547C"/>
    <w:rsid w:val="00DE6FD4"/>
    <w:rsid w:val="00E019AA"/>
    <w:rsid w:val="00E05560"/>
    <w:rsid w:val="00E056A7"/>
    <w:rsid w:val="00E13685"/>
    <w:rsid w:val="00E232A6"/>
    <w:rsid w:val="00E40F31"/>
    <w:rsid w:val="00E4766B"/>
    <w:rsid w:val="00E51712"/>
    <w:rsid w:val="00E532DE"/>
    <w:rsid w:val="00E54757"/>
    <w:rsid w:val="00E55452"/>
    <w:rsid w:val="00E6234E"/>
    <w:rsid w:val="00E65468"/>
    <w:rsid w:val="00E73105"/>
    <w:rsid w:val="00E77AF6"/>
    <w:rsid w:val="00E77D29"/>
    <w:rsid w:val="00E821BC"/>
    <w:rsid w:val="00E86074"/>
    <w:rsid w:val="00E8786D"/>
    <w:rsid w:val="00EA0EBC"/>
    <w:rsid w:val="00EB1832"/>
    <w:rsid w:val="00EB22C5"/>
    <w:rsid w:val="00EB55F5"/>
    <w:rsid w:val="00EB78FF"/>
    <w:rsid w:val="00EB7A3F"/>
    <w:rsid w:val="00EC0454"/>
    <w:rsid w:val="00EC055E"/>
    <w:rsid w:val="00EC6FD0"/>
    <w:rsid w:val="00ED2DF2"/>
    <w:rsid w:val="00ED60A7"/>
    <w:rsid w:val="00EE3410"/>
    <w:rsid w:val="00EE355D"/>
    <w:rsid w:val="00EF374B"/>
    <w:rsid w:val="00EF3E4D"/>
    <w:rsid w:val="00F00D98"/>
    <w:rsid w:val="00F03FB0"/>
    <w:rsid w:val="00F04C44"/>
    <w:rsid w:val="00F106C1"/>
    <w:rsid w:val="00F14A10"/>
    <w:rsid w:val="00F27FBB"/>
    <w:rsid w:val="00F31B45"/>
    <w:rsid w:val="00F37B65"/>
    <w:rsid w:val="00F4729E"/>
    <w:rsid w:val="00F47C12"/>
    <w:rsid w:val="00F50962"/>
    <w:rsid w:val="00F550A7"/>
    <w:rsid w:val="00F57603"/>
    <w:rsid w:val="00F66392"/>
    <w:rsid w:val="00F67958"/>
    <w:rsid w:val="00F73A99"/>
    <w:rsid w:val="00F775FD"/>
    <w:rsid w:val="00F94ABE"/>
    <w:rsid w:val="00FB346C"/>
    <w:rsid w:val="00FD1197"/>
    <w:rsid w:val="00FD1BB3"/>
    <w:rsid w:val="00FD4F09"/>
    <w:rsid w:val="00FD6F76"/>
    <w:rsid w:val="00FE2407"/>
    <w:rsid w:val="00FE5EBF"/>
    <w:rsid w:val="00FF1AB5"/>
    <w:rsid w:val="00FF766A"/>
    <w:rsid w:val="00FF7DF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15966D9B-894C-466C-AF3D-6126FDA00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 w:type="paragraph" w:customStyle="1" w:styleId="Corpodetexto31">
    <w:name w:val="Corpo de texto 31"/>
    <w:basedOn w:val="Normal"/>
    <w:rsid w:val="00E821BC"/>
    <w:pPr>
      <w:suppressAutoHyphens/>
      <w:jc w:val="both"/>
    </w:pPr>
    <w:rPr>
      <w:b/>
      <w:bCs/>
      <w:sz w:val="32"/>
      <w:szCs w:val="24"/>
      <w:u w:val="single"/>
      <w:lang w:eastAsia="ar-SA"/>
    </w:rPr>
  </w:style>
  <w:style w:type="paragraph" w:styleId="NormalWeb">
    <w:name w:val="Normal (Web)"/>
    <w:basedOn w:val="Normal"/>
    <w:uiPriority w:val="99"/>
    <w:unhideWhenUsed/>
    <w:rsid w:val="00244B45"/>
    <w:pPr>
      <w:spacing w:before="100" w:beforeAutospacing="1" w:after="100" w:afterAutospacing="1"/>
    </w:pPr>
    <w:rPr>
      <w:sz w:val="24"/>
      <w:szCs w:val="24"/>
    </w:rPr>
  </w:style>
  <w:style w:type="character" w:customStyle="1" w:styleId="apple-tab-span">
    <w:name w:val="apple-tab-span"/>
    <w:basedOn w:val="DefaultParagraphFont"/>
    <w:rsid w:val="00244B45"/>
  </w:style>
  <w:style w:type="table" w:styleId="PlainTable3">
    <w:name w:val="Plain Table 3"/>
    <w:basedOn w:val="TableNormal"/>
    <w:uiPriority w:val="43"/>
    <w:rsid w:val="003F15E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3F15E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A301AC"/>
    <w:pPr>
      <w:ind w:left="720"/>
      <w:contextualSpacing/>
    </w:pPr>
  </w:style>
  <w:style w:type="character" w:customStyle="1" w:styleId="RodapChar">
    <w:name w:val="Rodapé Char"/>
    <w:basedOn w:val="DefaultParagraphFont"/>
    <w:link w:val="Footer"/>
    <w:uiPriority w:val="99"/>
    <w:rsid w:val="00847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C5095-06B3-44CB-84EE-5E00FB24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15</Pages>
  <Words>5506</Words>
  <Characters>30988</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36422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Felipe Vedovato</cp:lastModifiedBy>
  <cp:revision>159</cp:revision>
  <cp:lastPrinted>2021-05-12T15:58:00Z</cp:lastPrinted>
  <dcterms:created xsi:type="dcterms:W3CDTF">2021-04-13T18:28:00Z</dcterms:created>
  <dcterms:modified xsi:type="dcterms:W3CDTF">2021-05-12T16:07:00Z</dcterms:modified>
</cp:coreProperties>
</file>