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B7A3F" w:rsidRPr="0050201B" w:rsidP="001244A1" w14:paraId="559BCB43" w14:textId="6C5B67BD">
      <w:pPr>
        <w:spacing w:before="240" w:after="240"/>
        <w:contextualSpacing/>
        <w:jc w:val="both"/>
        <w:rPr>
          <w:sz w:val="26"/>
          <w:szCs w:val="26"/>
        </w:rPr>
      </w:pPr>
      <w:r w:rsidRPr="0050201B">
        <w:rPr>
          <w:b/>
          <w:bCs/>
          <w:sz w:val="26"/>
          <w:szCs w:val="26"/>
          <w:u w:val="single"/>
        </w:rPr>
        <w:t>PARECER Nº</w:t>
      </w:r>
      <w:r w:rsidRPr="0050201B" w:rsidR="00522554">
        <w:rPr>
          <w:b/>
          <w:bCs/>
          <w:sz w:val="26"/>
          <w:szCs w:val="26"/>
          <w:u w:val="single"/>
        </w:rPr>
        <w:t xml:space="preserve"> 0</w:t>
      </w:r>
      <w:r w:rsidRPr="0050201B" w:rsidR="004517B0">
        <w:rPr>
          <w:b/>
          <w:bCs/>
          <w:sz w:val="26"/>
          <w:szCs w:val="26"/>
          <w:u w:val="single"/>
        </w:rPr>
        <w:t>6</w:t>
      </w:r>
      <w:r w:rsidRPr="0050201B" w:rsidR="00913219">
        <w:rPr>
          <w:b/>
          <w:bCs/>
          <w:sz w:val="26"/>
          <w:szCs w:val="26"/>
          <w:u w:val="single"/>
        </w:rPr>
        <w:t xml:space="preserve"> </w:t>
      </w:r>
      <w:r w:rsidRPr="0050201B">
        <w:rPr>
          <w:b/>
          <w:bCs/>
          <w:sz w:val="26"/>
          <w:szCs w:val="26"/>
          <w:u w:val="single"/>
        </w:rPr>
        <w:t>DE 2</w:t>
      </w:r>
      <w:r w:rsidRPr="0050201B" w:rsidR="00A727B5">
        <w:rPr>
          <w:b/>
          <w:bCs/>
          <w:sz w:val="26"/>
          <w:szCs w:val="26"/>
          <w:u w:val="single"/>
        </w:rPr>
        <w:t>.</w:t>
      </w:r>
      <w:r w:rsidRPr="0050201B">
        <w:rPr>
          <w:b/>
          <w:bCs/>
          <w:sz w:val="26"/>
          <w:szCs w:val="26"/>
          <w:u w:val="single"/>
        </w:rPr>
        <w:t xml:space="preserve">021, DA COMISSÃO PERMANENTE DE FINANÇAS E ORÇAMENTO, FAVORÁVEL À APROVAÇÃO DAS CONTAS DO EX-PREFEITO ARQUITETO CARLOS NELSON BUENO, PARA </w:t>
      </w:r>
      <w:r w:rsidRPr="0050201B" w:rsidR="00A727B5">
        <w:rPr>
          <w:b/>
          <w:bCs/>
          <w:sz w:val="26"/>
          <w:szCs w:val="26"/>
          <w:u w:val="single"/>
        </w:rPr>
        <w:t>O EXERCÍCIO</w:t>
      </w:r>
      <w:r w:rsidRPr="0050201B">
        <w:rPr>
          <w:b/>
          <w:bCs/>
          <w:sz w:val="26"/>
          <w:szCs w:val="26"/>
          <w:u w:val="single"/>
        </w:rPr>
        <w:t xml:space="preserve"> DE 2</w:t>
      </w:r>
      <w:r w:rsidRPr="0050201B" w:rsidR="004C4F1A">
        <w:rPr>
          <w:b/>
          <w:bCs/>
          <w:sz w:val="26"/>
          <w:szCs w:val="26"/>
          <w:u w:val="single"/>
        </w:rPr>
        <w:t>.</w:t>
      </w:r>
      <w:r w:rsidRPr="0050201B">
        <w:rPr>
          <w:b/>
          <w:bCs/>
          <w:sz w:val="26"/>
          <w:szCs w:val="26"/>
          <w:u w:val="single"/>
        </w:rPr>
        <w:t>01</w:t>
      </w:r>
      <w:r w:rsidRPr="0050201B" w:rsidR="00F011C7">
        <w:rPr>
          <w:b/>
          <w:bCs/>
          <w:sz w:val="26"/>
          <w:szCs w:val="26"/>
          <w:u w:val="single"/>
        </w:rPr>
        <w:t>8</w:t>
      </w:r>
      <w:r w:rsidRPr="0050201B">
        <w:rPr>
          <w:b/>
          <w:bCs/>
          <w:sz w:val="26"/>
          <w:szCs w:val="26"/>
          <w:u w:val="single"/>
        </w:rPr>
        <w:t>.</w:t>
      </w:r>
    </w:p>
    <w:p w:rsidR="00557897" w:rsidRPr="0050201B" w:rsidP="001244A1" w14:paraId="02FE9784" w14:textId="5AC36043">
      <w:pPr>
        <w:spacing w:before="240" w:after="240"/>
        <w:contextualSpacing/>
        <w:jc w:val="both"/>
        <w:rPr>
          <w:b/>
          <w:bCs/>
          <w:sz w:val="26"/>
          <w:szCs w:val="26"/>
          <w:u w:val="single"/>
        </w:rPr>
      </w:pPr>
    </w:p>
    <w:p w:rsidR="003162BE" w:rsidRPr="003162BE" w:rsidP="001244A1" w14:paraId="6E160E54" w14:textId="77777777">
      <w:pPr>
        <w:spacing w:before="240" w:after="240"/>
        <w:contextualSpacing/>
        <w:jc w:val="both"/>
        <w:rPr>
          <w:b/>
          <w:bCs/>
          <w:sz w:val="26"/>
          <w:szCs w:val="26"/>
          <w:u w:val="single"/>
        </w:rPr>
      </w:pPr>
      <w:r w:rsidRPr="003162BE">
        <w:rPr>
          <w:b/>
          <w:bCs/>
          <w:sz w:val="26"/>
          <w:szCs w:val="26"/>
          <w:u w:val="single"/>
        </w:rPr>
        <w:t>PROCESSO CÂMARA Nº 18 DE 2.021.</w:t>
      </w:r>
    </w:p>
    <w:p w:rsidR="003162BE" w:rsidRPr="003162BE" w:rsidP="001244A1" w14:paraId="5F309FD4" w14:textId="77777777">
      <w:pPr>
        <w:spacing w:before="240" w:after="240"/>
        <w:contextualSpacing/>
        <w:jc w:val="both"/>
        <w:rPr>
          <w:b/>
          <w:bCs/>
          <w:sz w:val="26"/>
          <w:szCs w:val="26"/>
          <w:u w:val="single"/>
        </w:rPr>
      </w:pPr>
      <w:r w:rsidRPr="003162BE">
        <w:rPr>
          <w:b/>
          <w:bCs/>
          <w:sz w:val="26"/>
          <w:szCs w:val="26"/>
          <w:u w:val="single"/>
        </w:rPr>
        <w:t>PROCESSO REFERÊNCIA TC Nº 004545.989.18-8</w:t>
      </w:r>
    </w:p>
    <w:p w:rsidR="003162BE" w:rsidRPr="003162BE" w:rsidP="001244A1" w14:paraId="677076D5" w14:textId="77777777">
      <w:pPr>
        <w:spacing w:before="240" w:after="240"/>
        <w:contextualSpacing/>
        <w:jc w:val="both"/>
        <w:rPr>
          <w:b/>
          <w:bCs/>
          <w:sz w:val="26"/>
          <w:szCs w:val="26"/>
        </w:rPr>
      </w:pPr>
      <w:r w:rsidRPr="003162BE">
        <w:rPr>
          <w:b/>
          <w:bCs/>
          <w:sz w:val="26"/>
          <w:szCs w:val="26"/>
        </w:rPr>
        <w:t> </w:t>
      </w:r>
      <w:r w:rsidRPr="003162BE">
        <w:rPr>
          <w:b/>
          <w:bCs/>
          <w:sz w:val="26"/>
          <w:szCs w:val="26"/>
        </w:rPr>
        <w:tab/>
      </w:r>
      <w:r w:rsidRPr="003162BE">
        <w:rPr>
          <w:b/>
          <w:bCs/>
          <w:sz w:val="26"/>
          <w:szCs w:val="26"/>
        </w:rPr>
        <w:tab/>
        <w:t xml:space="preserve">     </w:t>
      </w:r>
      <w:r w:rsidRPr="003162BE">
        <w:rPr>
          <w:b/>
          <w:bCs/>
          <w:sz w:val="26"/>
          <w:szCs w:val="26"/>
        </w:rPr>
        <w:tab/>
      </w:r>
    </w:p>
    <w:p w:rsidR="003162BE" w:rsidRPr="0050201B" w:rsidP="001244A1" w14:paraId="608BBC04" w14:textId="2F9F7285">
      <w:pPr>
        <w:spacing w:before="240" w:after="240"/>
        <w:contextualSpacing/>
        <w:jc w:val="both"/>
        <w:rPr>
          <w:b/>
          <w:bCs/>
          <w:sz w:val="26"/>
          <w:szCs w:val="26"/>
          <w:u w:val="single"/>
        </w:rPr>
      </w:pPr>
      <w:r w:rsidRPr="003162BE">
        <w:rPr>
          <w:b/>
          <w:bCs/>
          <w:sz w:val="26"/>
          <w:szCs w:val="26"/>
          <w:u w:val="single"/>
        </w:rPr>
        <w:t>Da Instrução</w:t>
      </w:r>
    </w:p>
    <w:p w:rsidR="001244A1" w:rsidRPr="003162BE" w:rsidP="001244A1" w14:paraId="12F916F6" w14:textId="77777777">
      <w:pPr>
        <w:spacing w:before="240" w:after="240"/>
        <w:contextualSpacing/>
        <w:jc w:val="both"/>
        <w:rPr>
          <w:b/>
          <w:bCs/>
          <w:sz w:val="26"/>
          <w:szCs w:val="26"/>
          <w:u w:val="single"/>
        </w:rPr>
      </w:pPr>
    </w:p>
    <w:p w:rsidR="003162BE" w:rsidRPr="0050201B" w:rsidP="001244A1" w14:paraId="6BB8E235" w14:textId="4FF6830D">
      <w:pPr>
        <w:spacing w:before="240" w:after="240"/>
        <w:contextualSpacing/>
        <w:jc w:val="both"/>
        <w:rPr>
          <w:sz w:val="26"/>
          <w:szCs w:val="26"/>
        </w:rPr>
      </w:pPr>
      <w:r w:rsidRPr="003162BE">
        <w:rPr>
          <w:sz w:val="26"/>
          <w:szCs w:val="26"/>
        </w:rPr>
        <w:t>O processo em epígrafe se refere ao encaminhamento a esta Casa de Leis da manifestação final do Egrégio Tribunal de Contas do Estado de São Paulo - TCE-SP, referente ao julgamento técnico da Prestação de Contas do Poder Executivo Municipal durante o exercício de 2.018, segundo ano da gestão do ex-Prefeito, Arquiteto Carlos Nelson Bueno, ordenador das despesas para o mandato de 2.017-2.020. </w:t>
      </w:r>
    </w:p>
    <w:p w:rsidR="001244A1" w:rsidRPr="0050201B" w:rsidP="001244A1" w14:paraId="3F0E7026" w14:textId="61E65EE2">
      <w:pPr>
        <w:spacing w:before="240" w:after="240"/>
        <w:contextualSpacing/>
        <w:jc w:val="both"/>
        <w:rPr>
          <w:sz w:val="26"/>
          <w:szCs w:val="26"/>
        </w:rPr>
      </w:pPr>
    </w:p>
    <w:p w:rsidR="001244A1" w:rsidRPr="003162BE" w:rsidP="001244A1" w14:paraId="5DD2FBE9" w14:textId="77777777">
      <w:pPr>
        <w:spacing w:before="240" w:after="240"/>
        <w:contextualSpacing/>
        <w:jc w:val="both"/>
        <w:rPr>
          <w:sz w:val="26"/>
          <w:szCs w:val="26"/>
        </w:rPr>
      </w:pPr>
    </w:p>
    <w:p w:rsidR="003162BE" w:rsidRPr="0050201B" w:rsidP="001244A1" w14:paraId="2ECAF5A7" w14:textId="02171222">
      <w:pPr>
        <w:spacing w:before="240" w:after="240"/>
        <w:contextualSpacing/>
        <w:jc w:val="both"/>
        <w:rPr>
          <w:b/>
          <w:bCs/>
          <w:sz w:val="26"/>
          <w:szCs w:val="26"/>
          <w:u w:val="single"/>
        </w:rPr>
      </w:pPr>
      <w:r w:rsidRPr="003162BE">
        <w:rPr>
          <w:b/>
          <w:bCs/>
          <w:sz w:val="26"/>
          <w:szCs w:val="26"/>
          <w:u w:val="single"/>
        </w:rPr>
        <w:t>Das Considerações Iniciais</w:t>
      </w:r>
    </w:p>
    <w:p w:rsidR="001244A1" w:rsidRPr="003162BE" w:rsidP="001244A1" w14:paraId="4A1F58D3" w14:textId="77777777">
      <w:pPr>
        <w:spacing w:before="240" w:after="240"/>
        <w:contextualSpacing/>
        <w:jc w:val="both"/>
        <w:rPr>
          <w:b/>
          <w:bCs/>
          <w:sz w:val="26"/>
          <w:szCs w:val="26"/>
          <w:u w:val="single"/>
        </w:rPr>
      </w:pPr>
    </w:p>
    <w:p w:rsidR="003162BE" w:rsidRPr="0050201B" w:rsidP="001244A1" w14:paraId="3B3EDECF" w14:textId="78F28925">
      <w:pPr>
        <w:contextualSpacing/>
        <w:jc w:val="both"/>
        <w:rPr>
          <w:sz w:val="26"/>
          <w:szCs w:val="26"/>
        </w:rPr>
      </w:pPr>
      <w:r w:rsidRPr="003162BE">
        <w:rPr>
          <w:sz w:val="26"/>
          <w:szCs w:val="26"/>
        </w:rPr>
        <w:t xml:space="preserve">O referido processo foi autuado nesta Casa de Leis aos 02 (dois) dias do mês de fevereiro do ano de 2.021, ficando por força do Art. 33 da Constituição Federal de 1.988, combinado com Art. nº 59 da Lei Orgânica de Mogi Mirim - LOMM, disponível para acesso e discussão da população </w:t>
      </w:r>
      <w:r w:rsidRPr="0050201B" w:rsidR="00001EC3">
        <w:rPr>
          <w:sz w:val="26"/>
          <w:szCs w:val="26"/>
        </w:rPr>
        <w:t>M</w:t>
      </w:r>
      <w:r w:rsidRPr="003162BE">
        <w:rPr>
          <w:sz w:val="26"/>
          <w:szCs w:val="26"/>
        </w:rPr>
        <w:t xml:space="preserve">ogimiriana pelo prazo de 60 dias corridos, que </w:t>
      </w:r>
      <w:r w:rsidRPr="0050201B" w:rsidR="00001EC3">
        <w:rPr>
          <w:sz w:val="26"/>
          <w:szCs w:val="26"/>
        </w:rPr>
        <w:t>se findou</w:t>
      </w:r>
      <w:r w:rsidRPr="003162BE">
        <w:rPr>
          <w:sz w:val="26"/>
          <w:szCs w:val="26"/>
        </w:rPr>
        <w:t xml:space="preserve"> em 30 (trinta) de março de 2.021. Após o prazo citado, conforme preconiza os Arts. 219 a 223 do Regimento Interno da Câmara Municipal, o processo foi encaminhado para esta Comissão Permanente de Finanças e Orçamento para análise das contas, observância e avaliação dos apontamentos e manifestações do TCE-SP, oitivas, e qualquer ação que a comissão considerar relevante para emissão do parecer e consequente decisão acerca da aprovação, ou reprovação das contas.</w:t>
      </w:r>
    </w:p>
    <w:p w:rsidR="001244A1" w:rsidRPr="003162BE" w:rsidP="001244A1" w14:paraId="0B844FF9" w14:textId="77777777">
      <w:pPr>
        <w:contextualSpacing/>
        <w:jc w:val="both"/>
        <w:rPr>
          <w:sz w:val="26"/>
          <w:szCs w:val="26"/>
        </w:rPr>
      </w:pPr>
    </w:p>
    <w:p w:rsidR="003162BE" w:rsidRPr="0050201B" w:rsidP="001244A1" w14:paraId="75F68E8D" w14:textId="2F57BAA0">
      <w:pPr>
        <w:spacing w:before="240" w:after="240"/>
        <w:contextualSpacing/>
        <w:jc w:val="both"/>
        <w:rPr>
          <w:sz w:val="26"/>
          <w:szCs w:val="26"/>
        </w:rPr>
      </w:pPr>
      <w:r w:rsidRPr="003162BE">
        <w:rPr>
          <w:sz w:val="26"/>
          <w:szCs w:val="26"/>
        </w:rPr>
        <w:t xml:space="preserve">Válido informar que a fiscalização </w:t>
      </w:r>
      <w:r w:rsidRPr="003162BE">
        <w:rPr>
          <w:i/>
          <w:iCs/>
          <w:sz w:val="26"/>
          <w:szCs w:val="26"/>
        </w:rPr>
        <w:t xml:space="preserve">“in loco” </w:t>
      </w:r>
      <w:r w:rsidRPr="003162BE">
        <w:rPr>
          <w:sz w:val="26"/>
          <w:szCs w:val="26"/>
        </w:rPr>
        <w:t xml:space="preserve">do Tribunal de Contas foi realizada pela UR-19 - Unidade Regional de Mogi Guaçu. </w:t>
      </w:r>
      <w:r w:rsidRPr="0050201B" w:rsidR="005C3760">
        <w:rPr>
          <w:sz w:val="26"/>
          <w:szCs w:val="26"/>
        </w:rPr>
        <w:t>Conforme</w:t>
      </w:r>
      <w:r w:rsidRPr="003162BE" w:rsidR="005C3760">
        <w:rPr>
          <w:sz w:val="26"/>
          <w:szCs w:val="26"/>
        </w:rPr>
        <w:t xml:space="preserve"> artigo 1º, § 1º da Resolução nº 01/201</w:t>
      </w:r>
      <w:r w:rsidRPr="0050201B" w:rsidR="00FD2AA1">
        <w:rPr>
          <w:sz w:val="26"/>
          <w:szCs w:val="26"/>
        </w:rPr>
        <w:t>, a</w:t>
      </w:r>
      <w:r w:rsidRPr="003162BE">
        <w:rPr>
          <w:sz w:val="26"/>
          <w:szCs w:val="26"/>
        </w:rPr>
        <w:t>s contas foram objeto de Acompanhamento Quadrimestral,</w:t>
      </w:r>
      <w:r w:rsidRPr="0050201B" w:rsidR="00FD2AA1">
        <w:rPr>
          <w:sz w:val="26"/>
          <w:szCs w:val="26"/>
        </w:rPr>
        <w:t xml:space="preserve"> </w:t>
      </w:r>
      <w:r w:rsidRPr="003162BE">
        <w:rPr>
          <w:sz w:val="26"/>
          <w:szCs w:val="26"/>
        </w:rPr>
        <w:t>sendo que as ocorrências da fiscalização foram anotadas nos relatórios, objetivando oportunizar à administração a prevenção e correção dos rumos das ações que se apresentassem com tendências ao descumprimento dos objetivos estabelecidos, dentro do próprio período.</w:t>
      </w:r>
    </w:p>
    <w:p w:rsidR="001244A1" w:rsidRPr="003162BE" w:rsidP="001244A1" w14:paraId="539F6870" w14:textId="77777777">
      <w:pPr>
        <w:spacing w:before="240" w:after="240"/>
        <w:contextualSpacing/>
        <w:jc w:val="both"/>
        <w:rPr>
          <w:sz w:val="26"/>
          <w:szCs w:val="26"/>
        </w:rPr>
      </w:pPr>
    </w:p>
    <w:p w:rsidR="003162BE" w:rsidRPr="0050201B" w:rsidP="001244A1" w14:paraId="0EC7B1E2" w14:textId="0BC98295">
      <w:pPr>
        <w:spacing w:before="240" w:after="240"/>
        <w:contextualSpacing/>
        <w:jc w:val="both"/>
        <w:rPr>
          <w:sz w:val="26"/>
          <w:szCs w:val="26"/>
        </w:rPr>
      </w:pPr>
      <w:r w:rsidRPr="003162BE">
        <w:rPr>
          <w:sz w:val="26"/>
          <w:szCs w:val="26"/>
        </w:rPr>
        <w:t>No caso em pauta, o TCE-SP se manifestou a favor da APROVAÇÃO das contas, com ressalvas, do exercício 2.018.</w:t>
      </w:r>
    </w:p>
    <w:p w:rsidR="001244A1" w:rsidRPr="003162BE" w:rsidP="001244A1" w14:paraId="4CA349EC" w14:textId="77777777">
      <w:pPr>
        <w:spacing w:before="240" w:after="240"/>
        <w:contextualSpacing/>
        <w:jc w:val="both"/>
        <w:rPr>
          <w:sz w:val="26"/>
          <w:szCs w:val="26"/>
        </w:rPr>
      </w:pPr>
    </w:p>
    <w:p w:rsidR="003162BE" w:rsidRPr="0050201B" w:rsidP="001244A1" w14:paraId="1DFFEBEB" w14:textId="259AE156">
      <w:pPr>
        <w:spacing w:before="240" w:after="240"/>
        <w:contextualSpacing/>
        <w:jc w:val="both"/>
        <w:rPr>
          <w:sz w:val="26"/>
          <w:szCs w:val="26"/>
        </w:rPr>
      </w:pPr>
      <w:r w:rsidRPr="003162BE">
        <w:rPr>
          <w:sz w:val="26"/>
          <w:szCs w:val="26"/>
        </w:rPr>
        <w:t xml:space="preserve">Ressaltamos que devido a situação da pandemia mundial da Covid-19 o Governador do Estado de São Paulo João Agripino da Costa Doria Junior, impôs em todo o Estado de São Paulo a restrição de serviços e atividades em decorrência da medida de quarentena, em conformidade com o Plano São Paulo, classificado em Fase Vermelha, conforme </w:t>
      </w:r>
      <w:r w:rsidRPr="003162BE">
        <w:rPr>
          <w:sz w:val="26"/>
          <w:szCs w:val="26"/>
        </w:rPr>
        <w:t>Decreto Estadual nº 65.595 de 03 de março de 2.021, como consequência os Atos da Mesa da Câmara Municipal </w:t>
      </w:r>
      <w:r w:rsidRPr="003162BE">
        <w:rPr>
          <w:sz w:val="26"/>
          <w:szCs w:val="26"/>
        </w:rPr>
        <w:t>nºs</w:t>
      </w:r>
      <w:r w:rsidRPr="0050201B" w:rsidR="00FD2AA1">
        <w:rPr>
          <w:sz w:val="26"/>
          <w:szCs w:val="26"/>
        </w:rPr>
        <w:t>.</w:t>
      </w:r>
      <w:r w:rsidRPr="003162BE">
        <w:rPr>
          <w:sz w:val="26"/>
          <w:szCs w:val="26"/>
        </w:rPr>
        <w:t xml:space="preserve"> 023; 025; 029 e 030/2021, que suspenderam temporariamente as atividades presenciais da Câmara Municipal de Mogi Mirim, restringindo o acesso às dependências desta Casa de Leis, </w:t>
      </w:r>
      <w:r w:rsidRPr="0050201B" w:rsidR="005B7BB6">
        <w:rPr>
          <w:sz w:val="26"/>
          <w:szCs w:val="26"/>
        </w:rPr>
        <w:t xml:space="preserve">tornaram </w:t>
      </w:r>
      <w:r w:rsidRPr="003162BE">
        <w:rPr>
          <w:sz w:val="26"/>
          <w:szCs w:val="26"/>
        </w:rPr>
        <w:t>a análise dos autos, oitivas e reuniões da comissão temporariamente prejudicadas.</w:t>
      </w:r>
    </w:p>
    <w:p w:rsidR="0041546A" w:rsidRPr="0050201B" w:rsidP="001244A1" w14:paraId="41C355BE" w14:textId="7DBD2805">
      <w:pPr>
        <w:spacing w:before="240" w:after="240"/>
        <w:contextualSpacing/>
        <w:jc w:val="both"/>
        <w:rPr>
          <w:sz w:val="26"/>
          <w:szCs w:val="26"/>
        </w:rPr>
      </w:pPr>
    </w:p>
    <w:p w:rsidR="0041546A" w:rsidRPr="003162BE" w:rsidP="001244A1" w14:paraId="5CB54B64" w14:textId="77777777">
      <w:pPr>
        <w:spacing w:before="240" w:after="240"/>
        <w:contextualSpacing/>
        <w:jc w:val="both"/>
        <w:rPr>
          <w:sz w:val="26"/>
          <w:szCs w:val="26"/>
        </w:rPr>
      </w:pPr>
    </w:p>
    <w:p w:rsidR="003162BE" w:rsidRPr="0050201B" w:rsidP="001244A1" w14:paraId="7E0A4E6A" w14:textId="321A13AB">
      <w:pPr>
        <w:spacing w:before="240" w:after="240"/>
        <w:contextualSpacing/>
        <w:jc w:val="both"/>
        <w:rPr>
          <w:b/>
          <w:bCs/>
          <w:sz w:val="26"/>
          <w:szCs w:val="26"/>
          <w:u w:val="single"/>
        </w:rPr>
      </w:pPr>
      <w:r w:rsidRPr="003162BE">
        <w:rPr>
          <w:b/>
          <w:bCs/>
          <w:sz w:val="26"/>
          <w:szCs w:val="26"/>
          <w:u w:val="single"/>
        </w:rPr>
        <w:t>Fontes de Informação</w:t>
      </w:r>
    </w:p>
    <w:p w:rsidR="0041546A" w:rsidRPr="003162BE" w:rsidP="001244A1" w14:paraId="2D7166E2" w14:textId="77777777">
      <w:pPr>
        <w:spacing w:before="240" w:after="240"/>
        <w:contextualSpacing/>
        <w:jc w:val="both"/>
        <w:rPr>
          <w:b/>
          <w:bCs/>
          <w:sz w:val="26"/>
          <w:szCs w:val="26"/>
          <w:u w:val="single"/>
        </w:rPr>
      </w:pPr>
    </w:p>
    <w:p w:rsidR="003162BE" w:rsidRPr="0050201B" w:rsidP="001244A1" w14:paraId="6C6F339D" w14:textId="7284A4D2">
      <w:pPr>
        <w:spacing w:before="240" w:after="240"/>
        <w:contextualSpacing/>
        <w:jc w:val="both"/>
        <w:rPr>
          <w:sz w:val="26"/>
          <w:szCs w:val="26"/>
        </w:rPr>
      </w:pPr>
      <w:r w:rsidRPr="003162BE">
        <w:rPr>
          <w:sz w:val="26"/>
          <w:szCs w:val="26"/>
        </w:rPr>
        <w:t>Este parecer foi elaborado tendo como embasamento as manifestações do Tribunal de Contas do Estado de São Paulo - TCE/SP, Ministério Público de Contas - MPC, Assessoria Técnico-Jurídica do TCE e manifestações da Prefeitura Municipal de Mogi Mirim - PMMM.</w:t>
      </w:r>
    </w:p>
    <w:p w:rsidR="0041546A" w:rsidRPr="0050201B" w:rsidP="001244A1" w14:paraId="65B3F962" w14:textId="4473106C">
      <w:pPr>
        <w:spacing w:before="240" w:after="240"/>
        <w:contextualSpacing/>
        <w:jc w:val="both"/>
        <w:rPr>
          <w:sz w:val="26"/>
          <w:szCs w:val="26"/>
        </w:rPr>
      </w:pPr>
    </w:p>
    <w:p w:rsidR="0041546A" w:rsidRPr="003162BE" w:rsidP="001244A1" w14:paraId="0D49E7B0" w14:textId="77777777">
      <w:pPr>
        <w:spacing w:before="240" w:after="240"/>
        <w:contextualSpacing/>
        <w:jc w:val="both"/>
        <w:rPr>
          <w:sz w:val="26"/>
          <w:szCs w:val="26"/>
        </w:rPr>
      </w:pPr>
    </w:p>
    <w:p w:rsidR="003162BE" w:rsidRPr="0050201B" w:rsidP="001244A1" w14:paraId="011BF8AA" w14:textId="674A065B">
      <w:pPr>
        <w:spacing w:before="240" w:after="240"/>
        <w:contextualSpacing/>
        <w:jc w:val="both"/>
        <w:rPr>
          <w:b/>
          <w:bCs/>
          <w:sz w:val="26"/>
          <w:szCs w:val="26"/>
          <w:u w:val="single"/>
        </w:rPr>
      </w:pPr>
      <w:r w:rsidRPr="003162BE">
        <w:rPr>
          <w:b/>
          <w:bCs/>
          <w:sz w:val="26"/>
          <w:szCs w:val="26"/>
          <w:u w:val="single"/>
        </w:rPr>
        <w:t>Do Histórico Processual</w:t>
      </w:r>
    </w:p>
    <w:p w:rsidR="0041546A" w:rsidRPr="003162BE" w:rsidP="001244A1" w14:paraId="3059392A" w14:textId="77777777">
      <w:pPr>
        <w:spacing w:before="240" w:after="240"/>
        <w:contextualSpacing/>
        <w:jc w:val="both"/>
        <w:rPr>
          <w:b/>
          <w:bCs/>
          <w:sz w:val="26"/>
          <w:szCs w:val="26"/>
          <w:u w:val="single"/>
        </w:rPr>
      </w:pPr>
    </w:p>
    <w:p w:rsidR="003162BE" w:rsidRPr="0050201B" w:rsidP="001244A1" w14:paraId="291F3128" w14:textId="7C6C90F7">
      <w:pPr>
        <w:spacing w:before="240" w:after="240"/>
        <w:contextualSpacing/>
        <w:jc w:val="both"/>
        <w:rPr>
          <w:sz w:val="26"/>
          <w:szCs w:val="26"/>
        </w:rPr>
      </w:pPr>
      <w:r w:rsidRPr="003162BE">
        <w:rPr>
          <w:sz w:val="26"/>
          <w:szCs w:val="26"/>
        </w:rPr>
        <w:t>Para melhor entendimento do caminho processual do tema, segue breve resumo das principais manifestações:</w:t>
      </w:r>
    </w:p>
    <w:p w:rsidR="00085BAE" w:rsidRPr="0050201B" w:rsidP="00956CA5" w14:paraId="5ECCC828" w14:textId="77777777">
      <w:pPr>
        <w:pStyle w:val="ListParagraph"/>
        <w:numPr>
          <w:ilvl w:val="0"/>
          <w:numId w:val="23"/>
        </w:numPr>
        <w:spacing w:before="240" w:after="240"/>
        <w:jc w:val="both"/>
        <w:rPr>
          <w:sz w:val="26"/>
          <w:szCs w:val="26"/>
        </w:rPr>
      </w:pPr>
      <w:r w:rsidRPr="0050201B">
        <w:rPr>
          <w:sz w:val="26"/>
          <w:szCs w:val="26"/>
        </w:rPr>
        <w:t>24/04/2020 - Manifestação da Assessoria Técnico-Jurídica do TCE/SP favorável à aprovação das contas</w:t>
      </w:r>
      <w:r w:rsidRPr="0050201B">
        <w:rPr>
          <w:sz w:val="26"/>
          <w:szCs w:val="26"/>
        </w:rPr>
        <w:t>.;</w:t>
      </w:r>
    </w:p>
    <w:p w:rsidR="00085BAE" w:rsidRPr="0050201B" w:rsidP="00956CA5" w14:paraId="77FDF1CF" w14:textId="77777777">
      <w:pPr>
        <w:pStyle w:val="ListParagraph"/>
        <w:numPr>
          <w:ilvl w:val="0"/>
          <w:numId w:val="23"/>
        </w:numPr>
        <w:spacing w:before="240" w:after="240"/>
        <w:jc w:val="both"/>
        <w:rPr>
          <w:sz w:val="26"/>
          <w:szCs w:val="26"/>
        </w:rPr>
      </w:pPr>
      <w:r w:rsidRPr="003162BE">
        <w:rPr>
          <w:sz w:val="26"/>
          <w:szCs w:val="26"/>
        </w:rPr>
        <w:t>05/07/2020 - Manifestação do Ministério Público de Contas opinando pela desaprovação das contas, indicando ainda algumas providências que a administração deve adotar.</w:t>
      </w:r>
    </w:p>
    <w:p w:rsidR="003162BE" w:rsidRPr="0050201B" w:rsidP="00956CA5" w14:paraId="0029BB95" w14:textId="37C13330">
      <w:pPr>
        <w:pStyle w:val="ListParagraph"/>
        <w:numPr>
          <w:ilvl w:val="0"/>
          <w:numId w:val="23"/>
        </w:numPr>
        <w:spacing w:before="240" w:after="240"/>
        <w:jc w:val="both"/>
        <w:rPr>
          <w:sz w:val="26"/>
          <w:szCs w:val="26"/>
        </w:rPr>
      </w:pPr>
      <w:r w:rsidRPr="0050201B">
        <w:rPr>
          <w:sz w:val="26"/>
          <w:szCs w:val="26"/>
        </w:rPr>
        <w:t>04/08/2020 - 21ª Sessão Ordinária da Primeira Câmara do Tribunal de Contas do Estado de São Paulo, onde após Sustentação Oral proferida pela ex-secretária municipal de Negócios Jurídicos, Dra. Adriana Tavares de Oliveira Penha, os Conselheiros votaram em concordância com o Parecer Favorável às Contas de 2.018, emitido pelo Conselheiro Relator Antônio Roque Citadini.</w:t>
      </w:r>
    </w:p>
    <w:p w:rsidR="00E873FE" w:rsidRPr="0050201B" w:rsidP="00E873FE" w14:paraId="09D598E0" w14:textId="77777777">
      <w:pPr>
        <w:spacing w:before="240" w:after="240"/>
        <w:ind w:left="360"/>
        <w:jc w:val="both"/>
        <w:rPr>
          <w:sz w:val="26"/>
          <w:szCs w:val="26"/>
        </w:rPr>
      </w:pPr>
    </w:p>
    <w:p w:rsidR="003162BE" w:rsidRPr="0050201B" w:rsidP="001244A1" w14:paraId="202329C1" w14:textId="1EFC0D15">
      <w:pPr>
        <w:spacing w:before="240" w:after="240"/>
        <w:contextualSpacing/>
        <w:jc w:val="both"/>
        <w:rPr>
          <w:b/>
          <w:bCs/>
          <w:sz w:val="26"/>
          <w:szCs w:val="26"/>
          <w:u w:val="single"/>
        </w:rPr>
      </w:pPr>
      <w:r w:rsidRPr="003162BE">
        <w:rPr>
          <w:b/>
          <w:bCs/>
          <w:sz w:val="26"/>
          <w:szCs w:val="26"/>
          <w:u w:val="single"/>
        </w:rPr>
        <w:t>Da Avaliação dos Indicadores</w:t>
      </w:r>
    </w:p>
    <w:p w:rsidR="00E873FE" w:rsidRPr="003162BE" w:rsidP="001244A1" w14:paraId="468E9A6C" w14:textId="77777777">
      <w:pPr>
        <w:spacing w:before="240" w:after="240"/>
        <w:contextualSpacing/>
        <w:jc w:val="both"/>
        <w:rPr>
          <w:b/>
          <w:bCs/>
          <w:sz w:val="26"/>
          <w:szCs w:val="26"/>
          <w:u w:val="single"/>
        </w:rPr>
      </w:pPr>
    </w:p>
    <w:p w:rsidR="003162BE" w:rsidRPr="003162BE" w:rsidP="001244A1" w14:paraId="70ECED4E" w14:textId="77777777">
      <w:pPr>
        <w:spacing w:before="240" w:after="240"/>
        <w:contextualSpacing/>
        <w:jc w:val="both"/>
        <w:rPr>
          <w:sz w:val="26"/>
          <w:szCs w:val="26"/>
        </w:rPr>
      </w:pPr>
      <w:r w:rsidRPr="003162BE">
        <w:rPr>
          <w:b/>
          <w:bCs/>
          <w:sz w:val="26"/>
          <w:szCs w:val="26"/>
        </w:rPr>
        <w:t>Item A.1.1 - Controle Interno</w:t>
      </w:r>
    </w:p>
    <w:p w:rsidR="003162BE" w:rsidRPr="003162BE" w:rsidP="00956CA5" w14:paraId="4C58CB1D" w14:textId="77777777">
      <w:pPr>
        <w:numPr>
          <w:ilvl w:val="0"/>
          <w:numId w:val="1"/>
        </w:numPr>
        <w:spacing w:before="240"/>
        <w:contextualSpacing/>
        <w:jc w:val="both"/>
        <w:textAlignment w:val="baseline"/>
        <w:rPr>
          <w:sz w:val="26"/>
          <w:szCs w:val="26"/>
        </w:rPr>
      </w:pPr>
      <w:r w:rsidRPr="003162BE">
        <w:rPr>
          <w:sz w:val="26"/>
          <w:szCs w:val="26"/>
        </w:rPr>
        <w:t>O controle interno funcionou de forma precária em 2.018, estando desprovido de regulamentação que amparasse seu trabalho além de ser exercido por funcionário dependente de função gratificada (autonomia e independência prejudicadas). Constata-se o descumprimento do artigo 74 da Constituição Federal;</w:t>
      </w:r>
    </w:p>
    <w:p w:rsidR="003162BE" w:rsidRPr="003162BE" w:rsidP="00956CA5" w14:paraId="0574F008" w14:textId="77777777">
      <w:pPr>
        <w:numPr>
          <w:ilvl w:val="0"/>
          <w:numId w:val="1"/>
        </w:numPr>
        <w:contextualSpacing/>
        <w:jc w:val="both"/>
        <w:textAlignment w:val="baseline"/>
        <w:rPr>
          <w:sz w:val="26"/>
          <w:szCs w:val="26"/>
        </w:rPr>
      </w:pPr>
      <w:r w:rsidRPr="003162BE">
        <w:rPr>
          <w:sz w:val="26"/>
          <w:szCs w:val="26"/>
        </w:rPr>
        <w:t>Resistência em tornar o cargo de Controlador Geral do Município realmente efetivo.</w:t>
      </w:r>
    </w:p>
    <w:p w:rsidR="003162BE" w:rsidRPr="0050201B" w:rsidP="00956CA5" w14:paraId="722903DF" w14:textId="239E2E05">
      <w:pPr>
        <w:numPr>
          <w:ilvl w:val="0"/>
          <w:numId w:val="1"/>
        </w:numPr>
        <w:spacing w:after="240"/>
        <w:contextualSpacing/>
        <w:jc w:val="both"/>
        <w:textAlignment w:val="baseline"/>
        <w:rPr>
          <w:sz w:val="26"/>
          <w:szCs w:val="26"/>
        </w:rPr>
      </w:pPr>
      <w:r w:rsidRPr="003162BE">
        <w:rPr>
          <w:sz w:val="26"/>
          <w:szCs w:val="26"/>
        </w:rPr>
        <w:t>Os Relatórios do Controle Interno apresentados em 2.018 limitaram-se a apresentar apenas dados contábeis/financeiros de uma forma geral.</w:t>
      </w:r>
    </w:p>
    <w:p w:rsidR="005C3A28" w:rsidRPr="0050201B" w:rsidP="001244A1" w14:paraId="06584E50" w14:textId="04C0F409">
      <w:pPr>
        <w:spacing w:after="240"/>
        <w:contextualSpacing/>
        <w:jc w:val="both"/>
        <w:textAlignment w:val="baseline"/>
        <w:rPr>
          <w:sz w:val="26"/>
          <w:szCs w:val="26"/>
        </w:rPr>
      </w:pPr>
    </w:p>
    <w:p w:rsidR="003162BE" w:rsidRPr="003162BE" w:rsidP="001244A1" w14:paraId="2A867F38" w14:textId="77777777">
      <w:pPr>
        <w:spacing w:before="240" w:after="240"/>
        <w:contextualSpacing/>
        <w:jc w:val="both"/>
        <w:rPr>
          <w:sz w:val="26"/>
          <w:szCs w:val="26"/>
        </w:rPr>
      </w:pPr>
      <w:r w:rsidRPr="003162BE">
        <w:rPr>
          <w:b/>
          <w:bCs/>
          <w:sz w:val="26"/>
          <w:szCs w:val="26"/>
        </w:rPr>
        <w:t>Item A.2 - IEG-M - I-Planejamento</w:t>
      </w:r>
    </w:p>
    <w:p w:rsidR="003162BE" w:rsidRPr="003162BE" w:rsidP="00956CA5" w14:paraId="04CB4EE7" w14:textId="77777777">
      <w:pPr>
        <w:numPr>
          <w:ilvl w:val="0"/>
          <w:numId w:val="2"/>
        </w:numPr>
        <w:spacing w:before="240"/>
        <w:contextualSpacing/>
        <w:jc w:val="both"/>
        <w:textAlignment w:val="baseline"/>
        <w:rPr>
          <w:sz w:val="26"/>
          <w:szCs w:val="26"/>
        </w:rPr>
      </w:pPr>
      <w:r w:rsidRPr="003162BE">
        <w:rPr>
          <w:sz w:val="26"/>
          <w:szCs w:val="26"/>
        </w:rPr>
        <w:t>Não foi criada estrutura de planejamento com cargos específicos (analista/técnico de planejamento e orçamento).</w:t>
      </w:r>
    </w:p>
    <w:p w:rsidR="003162BE" w:rsidRPr="0050201B" w:rsidP="00956CA5" w14:paraId="069EB94E" w14:textId="3772F4A3">
      <w:pPr>
        <w:numPr>
          <w:ilvl w:val="0"/>
          <w:numId w:val="2"/>
        </w:numPr>
        <w:spacing w:after="240"/>
        <w:contextualSpacing/>
        <w:jc w:val="both"/>
        <w:textAlignment w:val="baseline"/>
        <w:rPr>
          <w:sz w:val="26"/>
          <w:szCs w:val="26"/>
        </w:rPr>
      </w:pPr>
      <w:r w:rsidRPr="003162BE">
        <w:rPr>
          <w:sz w:val="26"/>
          <w:szCs w:val="26"/>
        </w:rPr>
        <w:t>Além das audiências públicas, não há levantamentos formais dos problemas, necessidades e deficiências do Município antecedentes ao planejamento.</w:t>
      </w:r>
    </w:p>
    <w:p w:rsidR="00E873FE" w:rsidRPr="003162BE" w:rsidP="00BA1DC5" w14:paraId="501FD5B3" w14:textId="77777777">
      <w:pPr>
        <w:spacing w:after="240"/>
        <w:ind w:left="720"/>
        <w:contextualSpacing/>
        <w:jc w:val="both"/>
        <w:textAlignment w:val="baseline"/>
        <w:rPr>
          <w:sz w:val="26"/>
          <w:szCs w:val="26"/>
        </w:rPr>
      </w:pPr>
    </w:p>
    <w:p w:rsidR="003162BE" w:rsidRPr="003162BE" w:rsidP="001244A1" w14:paraId="1237A075" w14:textId="77777777">
      <w:pPr>
        <w:spacing w:before="240" w:after="240"/>
        <w:contextualSpacing/>
        <w:jc w:val="both"/>
        <w:rPr>
          <w:sz w:val="26"/>
          <w:szCs w:val="26"/>
        </w:rPr>
      </w:pPr>
      <w:r w:rsidRPr="003162BE">
        <w:rPr>
          <w:b/>
          <w:bCs/>
          <w:sz w:val="26"/>
          <w:szCs w:val="26"/>
        </w:rPr>
        <w:t>Item B.1.1 - Resultado da Execução Orçamentária</w:t>
      </w:r>
    </w:p>
    <w:p w:rsidR="003162BE" w:rsidRPr="003162BE" w:rsidP="00956CA5" w14:paraId="7B13680A" w14:textId="77777777">
      <w:pPr>
        <w:numPr>
          <w:ilvl w:val="0"/>
          <w:numId w:val="3"/>
        </w:numPr>
        <w:spacing w:before="240" w:after="240"/>
        <w:contextualSpacing/>
        <w:jc w:val="both"/>
        <w:textAlignment w:val="baseline"/>
        <w:rPr>
          <w:sz w:val="26"/>
          <w:szCs w:val="26"/>
        </w:rPr>
      </w:pPr>
      <w:r w:rsidRPr="003162BE">
        <w:rPr>
          <w:sz w:val="26"/>
          <w:szCs w:val="26"/>
        </w:rPr>
        <w:t>O Município realizou investimento, com base na despesa liquidada, correspondente a 1,99% da receita total arrecadada.</w:t>
      </w:r>
    </w:p>
    <w:p w:rsidR="00BA1DC5" w:rsidRPr="0050201B" w:rsidP="001244A1" w14:paraId="424BA187" w14:textId="77777777">
      <w:pPr>
        <w:spacing w:before="240" w:after="240"/>
        <w:contextualSpacing/>
        <w:jc w:val="both"/>
        <w:rPr>
          <w:b/>
          <w:bCs/>
          <w:sz w:val="26"/>
          <w:szCs w:val="26"/>
        </w:rPr>
      </w:pPr>
    </w:p>
    <w:p w:rsidR="003162BE" w:rsidRPr="003162BE" w:rsidP="001244A1" w14:paraId="328B4909" w14:textId="47DB4750">
      <w:pPr>
        <w:spacing w:before="240" w:after="240"/>
        <w:contextualSpacing/>
        <w:jc w:val="both"/>
        <w:rPr>
          <w:sz w:val="26"/>
          <w:szCs w:val="26"/>
        </w:rPr>
      </w:pPr>
      <w:r w:rsidRPr="003162BE">
        <w:rPr>
          <w:b/>
          <w:bCs/>
          <w:sz w:val="26"/>
          <w:szCs w:val="26"/>
        </w:rPr>
        <w:t>Item B.1.5 - Precatórios</w:t>
      </w:r>
    </w:p>
    <w:p w:rsidR="003162BE" w:rsidRPr="003162BE" w:rsidP="00956CA5" w14:paraId="247DAC6C" w14:textId="77777777">
      <w:pPr>
        <w:numPr>
          <w:ilvl w:val="0"/>
          <w:numId w:val="4"/>
        </w:numPr>
        <w:spacing w:before="240" w:after="240"/>
        <w:contextualSpacing/>
        <w:jc w:val="both"/>
        <w:textAlignment w:val="baseline"/>
        <w:rPr>
          <w:sz w:val="26"/>
          <w:szCs w:val="26"/>
        </w:rPr>
      </w:pPr>
      <w:r w:rsidRPr="003162BE">
        <w:rPr>
          <w:sz w:val="26"/>
          <w:szCs w:val="26"/>
        </w:rPr>
        <w:t>O Balanço Patrimonial não registra, corretamente, as pendências judiciais.</w:t>
      </w:r>
    </w:p>
    <w:p w:rsidR="00BA1DC5" w:rsidRPr="0050201B" w:rsidP="001244A1" w14:paraId="6E64F3F2" w14:textId="77777777">
      <w:pPr>
        <w:spacing w:before="240" w:after="240"/>
        <w:contextualSpacing/>
        <w:jc w:val="both"/>
        <w:rPr>
          <w:b/>
          <w:bCs/>
          <w:sz w:val="26"/>
          <w:szCs w:val="26"/>
        </w:rPr>
      </w:pPr>
    </w:p>
    <w:p w:rsidR="003162BE" w:rsidRPr="003162BE" w:rsidP="001244A1" w14:paraId="044C7006" w14:textId="6803A1D9">
      <w:pPr>
        <w:spacing w:before="240" w:after="240"/>
        <w:contextualSpacing/>
        <w:jc w:val="both"/>
        <w:rPr>
          <w:sz w:val="26"/>
          <w:szCs w:val="26"/>
        </w:rPr>
      </w:pPr>
      <w:r w:rsidRPr="003162BE">
        <w:rPr>
          <w:b/>
          <w:bCs/>
          <w:sz w:val="26"/>
          <w:szCs w:val="26"/>
        </w:rPr>
        <w:t>Item B.1.9 - Demais Aspectos sobre Recursos Humanos</w:t>
      </w:r>
    </w:p>
    <w:p w:rsidR="003162BE" w:rsidRPr="003162BE" w:rsidP="00956CA5" w14:paraId="03723FEB" w14:textId="611623CF">
      <w:pPr>
        <w:numPr>
          <w:ilvl w:val="0"/>
          <w:numId w:val="5"/>
        </w:numPr>
        <w:spacing w:before="240" w:after="240"/>
        <w:contextualSpacing/>
        <w:jc w:val="both"/>
        <w:textAlignment w:val="baseline"/>
        <w:rPr>
          <w:sz w:val="26"/>
          <w:szCs w:val="26"/>
        </w:rPr>
      </w:pPr>
      <w:r w:rsidRPr="003162BE">
        <w:rPr>
          <w:sz w:val="26"/>
          <w:szCs w:val="26"/>
        </w:rPr>
        <w:t xml:space="preserve">No exercício examinado foram nomeados 3 (três) servidores para o cargo de “assessor setorial”, cargo que não possui atribuições com características de direção, chefia e assessoramento (art. 37, </w:t>
      </w:r>
      <w:r w:rsidR="00AE1553">
        <w:rPr>
          <w:sz w:val="26"/>
          <w:szCs w:val="26"/>
        </w:rPr>
        <w:t>i</w:t>
      </w:r>
      <w:r w:rsidR="00CC4E41">
        <w:rPr>
          <w:sz w:val="26"/>
          <w:szCs w:val="26"/>
        </w:rPr>
        <w:t>nc.</w:t>
      </w:r>
      <w:r w:rsidR="00CF3F68">
        <w:rPr>
          <w:sz w:val="26"/>
          <w:szCs w:val="26"/>
        </w:rPr>
        <w:t xml:space="preserve"> </w:t>
      </w:r>
      <w:r w:rsidRPr="003162BE">
        <w:rPr>
          <w:sz w:val="26"/>
          <w:szCs w:val="26"/>
        </w:rPr>
        <w:t>V, da Constituição Federal).</w:t>
      </w:r>
    </w:p>
    <w:p w:rsidR="00BA1DC5" w:rsidRPr="0050201B" w:rsidP="001244A1" w14:paraId="4BA507A5" w14:textId="77777777">
      <w:pPr>
        <w:spacing w:before="240" w:after="240"/>
        <w:contextualSpacing/>
        <w:jc w:val="both"/>
        <w:rPr>
          <w:b/>
          <w:bCs/>
          <w:sz w:val="26"/>
          <w:szCs w:val="26"/>
        </w:rPr>
      </w:pPr>
    </w:p>
    <w:p w:rsidR="003162BE" w:rsidRPr="003162BE" w:rsidP="001244A1" w14:paraId="510AD484" w14:textId="31EF7D41">
      <w:pPr>
        <w:spacing w:before="240" w:after="240"/>
        <w:contextualSpacing/>
        <w:jc w:val="both"/>
        <w:rPr>
          <w:sz w:val="26"/>
          <w:szCs w:val="26"/>
        </w:rPr>
      </w:pPr>
      <w:r w:rsidRPr="003162BE">
        <w:rPr>
          <w:b/>
          <w:bCs/>
          <w:sz w:val="26"/>
          <w:szCs w:val="26"/>
        </w:rPr>
        <w:t>Item B.2 - IEG-M - I Fiscal</w:t>
      </w:r>
    </w:p>
    <w:p w:rsidR="003162BE" w:rsidRPr="003162BE" w:rsidP="00956CA5" w14:paraId="2787A3FF" w14:textId="77777777">
      <w:pPr>
        <w:numPr>
          <w:ilvl w:val="0"/>
          <w:numId w:val="6"/>
        </w:numPr>
        <w:spacing w:before="240" w:after="240"/>
        <w:contextualSpacing/>
        <w:jc w:val="both"/>
        <w:textAlignment w:val="baseline"/>
        <w:rPr>
          <w:sz w:val="26"/>
          <w:szCs w:val="26"/>
        </w:rPr>
      </w:pPr>
      <w:r w:rsidRPr="003162BE">
        <w:rPr>
          <w:sz w:val="26"/>
          <w:szCs w:val="26"/>
        </w:rPr>
        <w:t>Não há normatização da estrutura organizacional da administração tributária.</w:t>
      </w:r>
    </w:p>
    <w:p w:rsidR="00BA1DC5" w:rsidRPr="0050201B" w:rsidP="001244A1" w14:paraId="00AB4176" w14:textId="77777777">
      <w:pPr>
        <w:spacing w:before="240" w:after="240"/>
        <w:contextualSpacing/>
        <w:jc w:val="both"/>
        <w:rPr>
          <w:b/>
          <w:bCs/>
          <w:sz w:val="26"/>
          <w:szCs w:val="26"/>
        </w:rPr>
      </w:pPr>
    </w:p>
    <w:p w:rsidR="003162BE" w:rsidRPr="003162BE" w:rsidP="001244A1" w14:paraId="19AB3186" w14:textId="15232766">
      <w:pPr>
        <w:spacing w:before="240" w:after="240"/>
        <w:contextualSpacing/>
        <w:jc w:val="both"/>
        <w:rPr>
          <w:sz w:val="26"/>
          <w:szCs w:val="26"/>
        </w:rPr>
      </w:pPr>
      <w:r w:rsidRPr="003162BE">
        <w:rPr>
          <w:b/>
          <w:bCs/>
          <w:sz w:val="26"/>
          <w:szCs w:val="26"/>
        </w:rPr>
        <w:t>Item C.1. Aplicação por determinação constitucional e legal</w:t>
      </w:r>
    </w:p>
    <w:p w:rsidR="003162BE" w:rsidRPr="003162BE" w:rsidP="00956CA5" w14:paraId="5797AAE2" w14:textId="78727389">
      <w:pPr>
        <w:numPr>
          <w:ilvl w:val="0"/>
          <w:numId w:val="7"/>
        </w:numPr>
        <w:spacing w:before="240"/>
        <w:contextualSpacing/>
        <w:jc w:val="both"/>
        <w:textAlignment w:val="baseline"/>
        <w:rPr>
          <w:sz w:val="26"/>
          <w:szCs w:val="26"/>
        </w:rPr>
      </w:pPr>
      <w:r w:rsidRPr="003162BE">
        <w:rPr>
          <w:sz w:val="26"/>
          <w:szCs w:val="26"/>
        </w:rPr>
        <w:t xml:space="preserve">Desatendimento das determinações expedidas no julgamento das contas de 2.014 e 2.015 </w:t>
      </w:r>
      <w:r w:rsidRPr="00E771CF">
        <w:rPr>
          <w:sz w:val="26"/>
          <w:szCs w:val="26"/>
        </w:rPr>
        <w:t>devido à não aplicação, em 2</w:t>
      </w:r>
      <w:r w:rsidRPr="00E771CF" w:rsidR="00CC4E41">
        <w:rPr>
          <w:sz w:val="26"/>
          <w:szCs w:val="26"/>
        </w:rPr>
        <w:t>.</w:t>
      </w:r>
      <w:r w:rsidRPr="00E771CF">
        <w:rPr>
          <w:sz w:val="26"/>
          <w:szCs w:val="26"/>
        </w:rPr>
        <w:t>018, do saldo do FUNDEB</w:t>
      </w:r>
      <w:r w:rsidRPr="00E771CF" w:rsidR="007439D0">
        <w:rPr>
          <w:sz w:val="26"/>
          <w:szCs w:val="26"/>
        </w:rPr>
        <w:t xml:space="preserve"> (</w:t>
      </w:r>
      <w:r w:rsidRPr="00E771CF" w:rsidR="00E771CF">
        <w:rPr>
          <w:sz w:val="26"/>
          <w:szCs w:val="26"/>
          <w:shd w:val="clear" w:color="auto" w:fill="FFFFFF"/>
        </w:rPr>
        <w:t>Fundo de Manutenção e Desenvolvimento da Educação Básica e de Valorização dos Profissionais da Educação</w:t>
      </w:r>
      <w:r w:rsidRPr="00E771CF" w:rsidR="006C6FB0">
        <w:rPr>
          <w:sz w:val="26"/>
          <w:szCs w:val="26"/>
        </w:rPr>
        <w:t xml:space="preserve">) </w:t>
      </w:r>
      <w:r w:rsidRPr="003162BE">
        <w:rPr>
          <w:sz w:val="26"/>
          <w:szCs w:val="26"/>
        </w:rPr>
        <w:t>daqueles exercícios.</w:t>
      </w:r>
    </w:p>
    <w:p w:rsidR="003162BE" w:rsidRPr="003162BE" w:rsidP="00956CA5" w14:paraId="70838BB2" w14:textId="77777777">
      <w:pPr>
        <w:numPr>
          <w:ilvl w:val="0"/>
          <w:numId w:val="7"/>
        </w:numPr>
        <w:spacing w:after="240"/>
        <w:contextualSpacing/>
        <w:jc w:val="both"/>
        <w:textAlignment w:val="baseline"/>
        <w:rPr>
          <w:sz w:val="26"/>
          <w:szCs w:val="26"/>
        </w:rPr>
      </w:pPr>
      <w:r w:rsidRPr="003162BE">
        <w:rPr>
          <w:sz w:val="26"/>
          <w:szCs w:val="26"/>
        </w:rPr>
        <w:t>A demanda de vagas na creche não foi totalmente atendida.</w:t>
      </w:r>
    </w:p>
    <w:p w:rsidR="00BA1DC5" w:rsidRPr="0050201B" w:rsidP="001244A1" w14:paraId="08FDC8D0" w14:textId="77777777">
      <w:pPr>
        <w:spacing w:before="240" w:after="240"/>
        <w:contextualSpacing/>
        <w:jc w:val="both"/>
        <w:rPr>
          <w:b/>
          <w:bCs/>
          <w:sz w:val="26"/>
          <w:szCs w:val="26"/>
        </w:rPr>
      </w:pPr>
    </w:p>
    <w:p w:rsidR="003162BE" w:rsidRPr="003162BE" w:rsidP="001244A1" w14:paraId="01932594" w14:textId="559324F6">
      <w:pPr>
        <w:spacing w:before="240" w:after="240"/>
        <w:contextualSpacing/>
        <w:jc w:val="both"/>
        <w:rPr>
          <w:sz w:val="26"/>
          <w:szCs w:val="26"/>
        </w:rPr>
      </w:pPr>
      <w:r w:rsidRPr="003162BE">
        <w:rPr>
          <w:b/>
          <w:bCs/>
          <w:sz w:val="26"/>
          <w:szCs w:val="26"/>
        </w:rPr>
        <w:t>Item C.2. IEG-M - IEDUC</w:t>
      </w:r>
    </w:p>
    <w:p w:rsidR="003162BE" w:rsidRPr="003162BE" w:rsidP="00956CA5" w14:paraId="05154043" w14:textId="77777777">
      <w:pPr>
        <w:numPr>
          <w:ilvl w:val="0"/>
          <w:numId w:val="8"/>
        </w:numPr>
        <w:spacing w:before="240"/>
        <w:contextualSpacing/>
        <w:jc w:val="both"/>
        <w:textAlignment w:val="baseline"/>
        <w:rPr>
          <w:sz w:val="26"/>
          <w:szCs w:val="26"/>
        </w:rPr>
      </w:pPr>
      <w:r w:rsidRPr="003162BE">
        <w:rPr>
          <w:sz w:val="26"/>
          <w:szCs w:val="26"/>
        </w:rPr>
        <w:t>O município não atingiu a meta do indicador próprio do município no ano da última avaliação.</w:t>
      </w:r>
    </w:p>
    <w:p w:rsidR="003162BE" w:rsidRPr="003162BE" w:rsidP="00956CA5" w14:paraId="1B4F053D" w14:textId="77777777">
      <w:pPr>
        <w:numPr>
          <w:ilvl w:val="0"/>
          <w:numId w:val="8"/>
        </w:numPr>
        <w:contextualSpacing/>
        <w:jc w:val="both"/>
        <w:textAlignment w:val="baseline"/>
        <w:rPr>
          <w:sz w:val="26"/>
          <w:szCs w:val="26"/>
        </w:rPr>
      </w:pPr>
      <w:r w:rsidRPr="003162BE">
        <w:rPr>
          <w:sz w:val="26"/>
          <w:szCs w:val="26"/>
        </w:rPr>
        <w:t>Nem todas as escolas da rede municipal possuem biblioteca ou sala de leitura, assunto abordado na lei nº 12.240/10.</w:t>
      </w:r>
    </w:p>
    <w:p w:rsidR="003162BE" w:rsidRPr="003162BE" w:rsidP="00956CA5" w14:paraId="4188AB4B" w14:textId="77777777">
      <w:pPr>
        <w:numPr>
          <w:ilvl w:val="0"/>
          <w:numId w:val="8"/>
        </w:numPr>
        <w:contextualSpacing/>
        <w:jc w:val="both"/>
        <w:textAlignment w:val="baseline"/>
        <w:rPr>
          <w:sz w:val="26"/>
          <w:szCs w:val="26"/>
        </w:rPr>
      </w:pPr>
      <w:r w:rsidRPr="003162BE">
        <w:rPr>
          <w:sz w:val="26"/>
          <w:szCs w:val="26"/>
        </w:rPr>
        <w:t>Percentual de escolas com bibliotecas e salas de leituras: 58,82%.</w:t>
      </w:r>
    </w:p>
    <w:p w:rsidR="003162BE" w:rsidRPr="003162BE" w:rsidP="00956CA5" w14:paraId="3320244A" w14:textId="77777777">
      <w:pPr>
        <w:numPr>
          <w:ilvl w:val="0"/>
          <w:numId w:val="8"/>
        </w:numPr>
        <w:contextualSpacing/>
        <w:jc w:val="both"/>
        <w:textAlignment w:val="baseline"/>
        <w:rPr>
          <w:sz w:val="26"/>
          <w:szCs w:val="26"/>
        </w:rPr>
      </w:pPr>
      <w:r w:rsidRPr="003162BE">
        <w:rPr>
          <w:sz w:val="26"/>
          <w:szCs w:val="26"/>
        </w:rPr>
        <w:t>Nenhum estabelecimento de ensino da rede pública municipal possuía AVCB (Auto de Vistoria do Corpo de Bombeiros) vigente no ano de 2.018.</w:t>
      </w:r>
    </w:p>
    <w:p w:rsidR="003162BE" w:rsidRPr="003162BE" w:rsidP="00956CA5" w14:paraId="731D0A57" w14:textId="73D35B2C">
      <w:pPr>
        <w:numPr>
          <w:ilvl w:val="0"/>
          <w:numId w:val="8"/>
        </w:numPr>
        <w:contextualSpacing/>
        <w:jc w:val="both"/>
        <w:textAlignment w:val="baseline"/>
        <w:rPr>
          <w:sz w:val="26"/>
          <w:szCs w:val="26"/>
        </w:rPr>
      </w:pPr>
      <w:r w:rsidRPr="003162BE">
        <w:rPr>
          <w:sz w:val="26"/>
          <w:szCs w:val="26"/>
        </w:rPr>
        <w:t>Nem todas as escolas do Anos Iniciais do Ensino Fundamental possuem quadra poliesportiva coberta com dimensões mínimas de 18m</w:t>
      </w:r>
      <w:r w:rsidR="00095A6F">
        <w:rPr>
          <w:sz w:val="26"/>
          <w:szCs w:val="26"/>
        </w:rPr>
        <w:t xml:space="preserve"> x </w:t>
      </w:r>
      <w:r w:rsidRPr="003162BE">
        <w:rPr>
          <w:sz w:val="26"/>
          <w:szCs w:val="26"/>
        </w:rPr>
        <w:t>30m.</w:t>
      </w:r>
    </w:p>
    <w:p w:rsidR="003162BE" w:rsidRPr="003162BE" w:rsidP="00956CA5" w14:paraId="3C22952E" w14:textId="77777777">
      <w:pPr>
        <w:numPr>
          <w:ilvl w:val="0"/>
          <w:numId w:val="8"/>
        </w:numPr>
        <w:contextualSpacing/>
        <w:jc w:val="both"/>
        <w:textAlignment w:val="baseline"/>
        <w:rPr>
          <w:sz w:val="26"/>
          <w:szCs w:val="26"/>
        </w:rPr>
      </w:pPr>
      <w:r w:rsidRPr="003162BE">
        <w:rPr>
          <w:sz w:val="26"/>
          <w:szCs w:val="26"/>
        </w:rPr>
        <w:t>Houve unidades de ensino que necessitavam de reparos.</w:t>
      </w:r>
    </w:p>
    <w:p w:rsidR="003162BE" w:rsidRPr="003162BE" w:rsidP="00956CA5" w14:paraId="15C1DD01" w14:textId="77777777">
      <w:pPr>
        <w:numPr>
          <w:ilvl w:val="0"/>
          <w:numId w:val="8"/>
        </w:numPr>
        <w:spacing w:after="240"/>
        <w:contextualSpacing/>
        <w:jc w:val="both"/>
        <w:textAlignment w:val="baseline"/>
        <w:rPr>
          <w:sz w:val="26"/>
          <w:szCs w:val="26"/>
        </w:rPr>
      </w:pPr>
      <w:r w:rsidRPr="003162BE">
        <w:rPr>
          <w:sz w:val="26"/>
          <w:szCs w:val="26"/>
        </w:rPr>
        <w:t>O município informou que não houve aplicação de recursos municipais, em reais, na capacitação e avaliação do corpo docente municipal de pré-escola em 2.018.</w:t>
      </w:r>
    </w:p>
    <w:p w:rsidR="00BA1DC5" w:rsidRPr="0050201B" w:rsidP="001244A1" w14:paraId="18ABD262" w14:textId="77777777">
      <w:pPr>
        <w:spacing w:before="240" w:after="240"/>
        <w:contextualSpacing/>
        <w:jc w:val="both"/>
        <w:rPr>
          <w:b/>
          <w:bCs/>
          <w:sz w:val="26"/>
          <w:szCs w:val="26"/>
        </w:rPr>
      </w:pPr>
    </w:p>
    <w:p w:rsidR="00BA1DC5" w:rsidRPr="0050201B" w:rsidP="001244A1" w14:paraId="6AB814AB" w14:textId="77777777">
      <w:pPr>
        <w:spacing w:before="240" w:after="240"/>
        <w:contextualSpacing/>
        <w:jc w:val="both"/>
        <w:rPr>
          <w:b/>
          <w:bCs/>
          <w:sz w:val="26"/>
          <w:szCs w:val="26"/>
        </w:rPr>
      </w:pPr>
    </w:p>
    <w:p w:rsidR="00BA1DC5" w:rsidRPr="0050201B" w:rsidP="001244A1" w14:paraId="50A03C29" w14:textId="77777777">
      <w:pPr>
        <w:spacing w:before="240" w:after="240"/>
        <w:contextualSpacing/>
        <w:jc w:val="both"/>
        <w:rPr>
          <w:b/>
          <w:bCs/>
          <w:sz w:val="26"/>
          <w:szCs w:val="26"/>
        </w:rPr>
      </w:pPr>
    </w:p>
    <w:p w:rsidR="00BA1DC5" w:rsidRPr="0050201B" w:rsidP="001244A1" w14:paraId="22512F4A" w14:textId="77777777">
      <w:pPr>
        <w:spacing w:before="240" w:after="240"/>
        <w:contextualSpacing/>
        <w:jc w:val="both"/>
        <w:rPr>
          <w:b/>
          <w:bCs/>
          <w:sz w:val="26"/>
          <w:szCs w:val="26"/>
        </w:rPr>
      </w:pPr>
    </w:p>
    <w:p w:rsidR="003162BE" w:rsidRPr="003162BE" w:rsidP="001244A1" w14:paraId="72F11B4C" w14:textId="2E30D467">
      <w:pPr>
        <w:spacing w:before="240" w:after="240"/>
        <w:contextualSpacing/>
        <w:jc w:val="both"/>
        <w:rPr>
          <w:sz w:val="26"/>
          <w:szCs w:val="26"/>
        </w:rPr>
      </w:pPr>
      <w:r w:rsidRPr="003162BE">
        <w:rPr>
          <w:b/>
          <w:bCs/>
          <w:sz w:val="26"/>
          <w:szCs w:val="26"/>
        </w:rPr>
        <w:t>Item C.3. Obras de creche atrasadas ou paralisadas</w:t>
      </w:r>
    </w:p>
    <w:p w:rsidR="003162BE" w:rsidRPr="003162BE" w:rsidP="00956CA5" w14:paraId="26B11A76" w14:textId="77777777">
      <w:pPr>
        <w:numPr>
          <w:ilvl w:val="0"/>
          <w:numId w:val="9"/>
        </w:numPr>
        <w:spacing w:before="240"/>
        <w:contextualSpacing/>
        <w:jc w:val="both"/>
        <w:textAlignment w:val="baseline"/>
        <w:rPr>
          <w:sz w:val="26"/>
          <w:szCs w:val="26"/>
        </w:rPr>
      </w:pPr>
      <w:r w:rsidRPr="003162BE">
        <w:rPr>
          <w:sz w:val="26"/>
          <w:szCs w:val="26"/>
        </w:rPr>
        <w:t>Há duas obras de creches atrasadas ou paralisadas, uma ainda em estado de abandono, prejudicando o atendimento da demanda de vagas em creches no município.</w:t>
      </w:r>
    </w:p>
    <w:p w:rsidR="003162BE" w:rsidRPr="003162BE" w:rsidP="00956CA5" w14:paraId="7350F16A" w14:textId="77777777">
      <w:pPr>
        <w:numPr>
          <w:ilvl w:val="0"/>
          <w:numId w:val="9"/>
        </w:numPr>
        <w:spacing w:after="240"/>
        <w:contextualSpacing/>
        <w:jc w:val="both"/>
        <w:textAlignment w:val="baseline"/>
        <w:rPr>
          <w:sz w:val="26"/>
          <w:szCs w:val="26"/>
        </w:rPr>
      </w:pPr>
      <w:r w:rsidRPr="003162BE">
        <w:rPr>
          <w:sz w:val="26"/>
          <w:szCs w:val="26"/>
        </w:rPr>
        <w:t>Não vislumbramos a aplicação de qualquer penalidade à contratada por abandono de obras.</w:t>
      </w:r>
    </w:p>
    <w:p w:rsidR="00BA1DC5" w:rsidRPr="0050201B" w:rsidP="001244A1" w14:paraId="6DEC7B6D" w14:textId="77777777">
      <w:pPr>
        <w:spacing w:before="240" w:after="240"/>
        <w:contextualSpacing/>
        <w:jc w:val="both"/>
        <w:rPr>
          <w:b/>
          <w:bCs/>
          <w:sz w:val="26"/>
          <w:szCs w:val="26"/>
        </w:rPr>
      </w:pPr>
    </w:p>
    <w:p w:rsidR="003162BE" w:rsidRPr="003162BE" w:rsidP="001244A1" w14:paraId="034A5377" w14:textId="1F8FE262">
      <w:pPr>
        <w:spacing w:before="240" w:after="240"/>
        <w:contextualSpacing/>
        <w:jc w:val="both"/>
        <w:rPr>
          <w:sz w:val="26"/>
          <w:szCs w:val="26"/>
        </w:rPr>
      </w:pPr>
      <w:r w:rsidRPr="003162BE">
        <w:rPr>
          <w:b/>
          <w:bCs/>
          <w:sz w:val="26"/>
          <w:szCs w:val="26"/>
        </w:rPr>
        <w:t>Item   C.4 - Outras obras da educação (cumprimento de determinação das contas 2015)</w:t>
      </w:r>
    </w:p>
    <w:p w:rsidR="003162BE" w:rsidRPr="003162BE" w:rsidP="00956CA5" w14:paraId="5570BBB2" w14:textId="77777777">
      <w:pPr>
        <w:numPr>
          <w:ilvl w:val="0"/>
          <w:numId w:val="10"/>
        </w:numPr>
        <w:spacing w:before="240" w:after="240"/>
        <w:contextualSpacing/>
        <w:jc w:val="both"/>
        <w:textAlignment w:val="baseline"/>
        <w:rPr>
          <w:sz w:val="26"/>
          <w:szCs w:val="26"/>
        </w:rPr>
      </w:pPr>
      <w:r w:rsidRPr="003162BE">
        <w:rPr>
          <w:sz w:val="26"/>
          <w:szCs w:val="26"/>
        </w:rPr>
        <w:t>Permanece as impropriedades neste exercício, concluímos que as medidas anunciadas na defesa ainda não foram implementadas e/ou suficientes para corrigir os problemas apontados.</w:t>
      </w:r>
    </w:p>
    <w:p w:rsidR="00BA1DC5" w:rsidRPr="0050201B" w:rsidP="001244A1" w14:paraId="78B96BFB" w14:textId="77777777">
      <w:pPr>
        <w:spacing w:before="240" w:after="240"/>
        <w:contextualSpacing/>
        <w:jc w:val="both"/>
        <w:rPr>
          <w:b/>
          <w:bCs/>
          <w:sz w:val="26"/>
          <w:szCs w:val="26"/>
        </w:rPr>
      </w:pPr>
    </w:p>
    <w:p w:rsidR="003162BE" w:rsidRPr="003162BE" w:rsidP="001244A1" w14:paraId="60DD6FBC" w14:textId="2447FCC9">
      <w:pPr>
        <w:spacing w:before="240" w:after="240"/>
        <w:contextualSpacing/>
        <w:jc w:val="both"/>
        <w:rPr>
          <w:sz w:val="26"/>
          <w:szCs w:val="26"/>
        </w:rPr>
      </w:pPr>
      <w:r w:rsidRPr="003162BE">
        <w:rPr>
          <w:b/>
          <w:bCs/>
          <w:sz w:val="26"/>
          <w:szCs w:val="26"/>
        </w:rPr>
        <w:t>Item C.5. IDEB</w:t>
      </w:r>
    </w:p>
    <w:p w:rsidR="003162BE" w:rsidRPr="003162BE" w:rsidP="00956CA5" w14:paraId="2A14687F" w14:textId="77777777">
      <w:pPr>
        <w:numPr>
          <w:ilvl w:val="0"/>
          <w:numId w:val="11"/>
        </w:numPr>
        <w:spacing w:before="240" w:after="240"/>
        <w:contextualSpacing/>
        <w:jc w:val="both"/>
        <w:textAlignment w:val="baseline"/>
        <w:rPr>
          <w:sz w:val="26"/>
          <w:szCs w:val="26"/>
        </w:rPr>
      </w:pPr>
      <w:r w:rsidRPr="003162BE">
        <w:rPr>
          <w:sz w:val="26"/>
          <w:szCs w:val="26"/>
        </w:rPr>
        <w:t>Diversas escolas não conseguiram alcançar a meta projetada para o exercício de 2.017;</w:t>
      </w:r>
    </w:p>
    <w:p w:rsidR="00BA1DC5" w:rsidRPr="0050201B" w:rsidP="001244A1" w14:paraId="7F66F60E" w14:textId="77777777">
      <w:pPr>
        <w:spacing w:before="240" w:after="240"/>
        <w:contextualSpacing/>
        <w:jc w:val="both"/>
        <w:rPr>
          <w:b/>
          <w:bCs/>
          <w:sz w:val="26"/>
          <w:szCs w:val="26"/>
        </w:rPr>
      </w:pPr>
    </w:p>
    <w:p w:rsidR="003162BE" w:rsidRPr="003162BE" w:rsidP="001244A1" w14:paraId="6BF9AADF" w14:textId="7C706887">
      <w:pPr>
        <w:spacing w:before="240" w:after="240"/>
        <w:contextualSpacing/>
        <w:jc w:val="both"/>
        <w:rPr>
          <w:sz w:val="26"/>
          <w:szCs w:val="26"/>
        </w:rPr>
      </w:pPr>
      <w:r w:rsidRPr="003162BE">
        <w:rPr>
          <w:b/>
          <w:bCs/>
          <w:sz w:val="26"/>
          <w:szCs w:val="26"/>
        </w:rPr>
        <w:t>Item C.8. Fiscalização ordenada</w:t>
      </w:r>
    </w:p>
    <w:p w:rsidR="003162BE" w:rsidRPr="003162BE" w:rsidP="00956CA5" w14:paraId="641D2BF0" w14:textId="77777777">
      <w:pPr>
        <w:numPr>
          <w:ilvl w:val="0"/>
          <w:numId w:val="12"/>
        </w:numPr>
        <w:spacing w:before="240"/>
        <w:contextualSpacing/>
        <w:jc w:val="both"/>
        <w:textAlignment w:val="baseline"/>
        <w:rPr>
          <w:sz w:val="26"/>
          <w:szCs w:val="26"/>
        </w:rPr>
      </w:pPr>
      <w:r w:rsidRPr="003162BE">
        <w:rPr>
          <w:sz w:val="26"/>
          <w:szCs w:val="26"/>
        </w:rPr>
        <w:t>Irregularidades que permaneceram na segunda verificação:</w:t>
      </w:r>
    </w:p>
    <w:p w:rsidR="003162BE" w:rsidRPr="003162BE" w:rsidP="00956CA5" w14:paraId="4E2B8B00" w14:textId="77777777">
      <w:pPr>
        <w:numPr>
          <w:ilvl w:val="0"/>
          <w:numId w:val="12"/>
        </w:numPr>
        <w:contextualSpacing/>
        <w:jc w:val="both"/>
        <w:textAlignment w:val="baseline"/>
        <w:rPr>
          <w:sz w:val="26"/>
          <w:szCs w:val="26"/>
        </w:rPr>
      </w:pPr>
      <w:r w:rsidRPr="003162BE">
        <w:rPr>
          <w:sz w:val="26"/>
          <w:szCs w:val="26"/>
        </w:rPr>
        <w:t>A prefeitura distribuiu material escolar aos alunos no exercício de 2.018 e 2.019 apenas aos alunos que não têm condições financeiras;</w:t>
      </w:r>
    </w:p>
    <w:p w:rsidR="003162BE" w:rsidRPr="003162BE" w:rsidP="00956CA5" w14:paraId="77805FA8" w14:textId="77777777">
      <w:pPr>
        <w:numPr>
          <w:ilvl w:val="0"/>
          <w:numId w:val="12"/>
        </w:numPr>
        <w:spacing w:after="240"/>
        <w:contextualSpacing/>
        <w:jc w:val="both"/>
        <w:textAlignment w:val="baseline"/>
        <w:rPr>
          <w:sz w:val="26"/>
          <w:szCs w:val="26"/>
        </w:rPr>
      </w:pPr>
      <w:r w:rsidRPr="003162BE">
        <w:rPr>
          <w:sz w:val="26"/>
          <w:szCs w:val="26"/>
        </w:rPr>
        <w:t>Não houve distribuição de uniformes tanto em 2.018 quanto em 2.019 e, por esse motivo, as escolas não exigem o uso pelos alunos. Durante a visita constatamos que parte dos alunos não usavam uniforme escolar;</w:t>
      </w:r>
    </w:p>
    <w:p w:rsidR="00BA1DC5" w:rsidRPr="0050201B" w:rsidP="001244A1" w14:paraId="41B6AF87" w14:textId="77777777">
      <w:pPr>
        <w:spacing w:before="240" w:after="240"/>
        <w:contextualSpacing/>
        <w:jc w:val="both"/>
        <w:rPr>
          <w:b/>
          <w:bCs/>
          <w:sz w:val="26"/>
          <w:szCs w:val="26"/>
        </w:rPr>
      </w:pPr>
    </w:p>
    <w:p w:rsidR="003162BE" w:rsidRPr="003162BE" w:rsidP="001244A1" w14:paraId="12E29603" w14:textId="2BFA7065">
      <w:pPr>
        <w:spacing w:before="240" w:after="240"/>
        <w:contextualSpacing/>
        <w:jc w:val="both"/>
        <w:rPr>
          <w:sz w:val="26"/>
          <w:szCs w:val="26"/>
        </w:rPr>
      </w:pPr>
      <w:r w:rsidRPr="003162BE">
        <w:rPr>
          <w:b/>
          <w:bCs/>
          <w:sz w:val="26"/>
          <w:szCs w:val="26"/>
        </w:rPr>
        <w:t>Item D.2 - IEG-M - I-Saúde</w:t>
      </w:r>
    </w:p>
    <w:p w:rsidR="003162BE" w:rsidRPr="003162BE" w:rsidP="00956CA5" w14:paraId="19A1ACCF" w14:textId="77777777">
      <w:pPr>
        <w:numPr>
          <w:ilvl w:val="0"/>
          <w:numId w:val="13"/>
        </w:numPr>
        <w:spacing w:before="240"/>
        <w:contextualSpacing/>
        <w:jc w:val="both"/>
        <w:textAlignment w:val="baseline"/>
        <w:rPr>
          <w:sz w:val="26"/>
          <w:szCs w:val="26"/>
        </w:rPr>
      </w:pPr>
      <w:r w:rsidRPr="003162BE">
        <w:rPr>
          <w:sz w:val="26"/>
          <w:szCs w:val="26"/>
        </w:rPr>
        <w:t>O Município não possui informação sistematizada sobre os gargalos/demanda reprimida de atendimento ambulatorial/hospitalar de média e alta complexidade de referência para a Atenção Básica.</w:t>
      </w:r>
    </w:p>
    <w:p w:rsidR="003162BE" w:rsidRPr="003162BE" w:rsidP="00956CA5" w14:paraId="6A6F521F" w14:textId="77777777">
      <w:pPr>
        <w:numPr>
          <w:ilvl w:val="0"/>
          <w:numId w:val="13"/>
        </w:numPr>
        <w:contextualSpacing/>
        <w:jc w:val="both"/>
        <w:textAlignment w:val="baseline"/>
        <w:rPr>
          <w:sz w:val="26"/>
          <w:szCs w:val="26"/>
        </w:rPr>
      </w:pPr>
      <w:r w:rsidRPr="003162BE">
        <w:rPr>
          <w:sz w:val="26"/>
          <w:szCs w:val="26"/>
        </w:rPr>
        <w:t>Nenhuma unidade de saúde (estabelecimento físico) possui AVCB (Auto de Vistoria do Corpo de Bombeiros).</w:t>
      </w:r>
    </w:p>
    <w:p w:rsidR="003162BE" w:rsidRPr="003162BE" w:rsidP="00956CA5" w14:paraId="4BAE4FB2" w14:textId="77777777">
      <w:pPr>
        <w:numPr>
          <w:ilvl w:val="0"/>
          <w:numId w:val="13"/>
        </w:numPr>
        <w:contextualSpacing/>
        <w:jc w:val="both"/>
        <w:textAlignment w:val="baseline"/>
        <w:rPr>
          <w:sz w:val="26"/>
          <w:szCs w:val="26"/>
        </w:rPr>
      </w:pPr>
      <w:r w:rsidRPr="003162BE">
        <w:rPr>
          <w:sz w:val="26"/>
          <w:szCs w:val="26"/>
        </w:rPr>
        <w:t>Os médicos não cumprem integralmente sua jornada de trabalho.</w:t>
      </w:r>
    </w:p>
    <w:p w:rsidR="003162BE" w:rsidRPr="003162BE" w:rsidP="00956CA5" w14:paraId="793430BC" w14:textId="7374FA07">
      <w:pPr>
        <w:numPr>
          <w:ilvl w:val="0"/>
          <w:numId w:val="13"/>
        </w:numPr>
        <w:spacing w:after="240"/>
        <w:contextualSpacing/>
        <w:jc w:val="both"/>
        <w:textAlignment w:val="baseline"/>
        <w:rPr>
          <w:sz w:val="26"/>
          <w:szCs w:val="26"/>
        </w:rPr>
      </w:pPr>
      <w:r w:rsidRPr="003162BE">
        <w:rPr>
          <w:sz w:val="26"/>
          <w:szCs w:val="26"/>
        </w:rPr>
        <w:t>As U</w:t>
      </w:r>
      <w:r w:rsidR="00A04EE7">
        <w:rPr>
          <w:sz w:val="26"/>
          <w:szCs w:val="26"/>
        </w:rPr>
        <w:t>BS</w:t>
      </w:r>
      <w:r w:rsidRPr="003162BE">
        <w:rPr>
          <w:sz w:val="26"/>
          <w:szCs w:val="26"/>
        </w:rPr>
        <w:t>s não possuem sistema de controle de ponto eletrônico ou mecânico para os médicos.</w:t>
      </w:r>
    </w:p>
    <w:p w:rsidR="00BA1DC5" w:rsidRPr="0050201B" w:rsidP="001244A1" w14:paraId="681AF748" w14:textId="77777777">
      <w:pPr>
        <w:spacing w:before="240" w:after="240"/>
        <w:contextualSpacing/>
        <w:jc w:val="both"/>
        <w:rPr>
          <w:b/>
          <w:bCs/>
          <w:sz w:val="26"/>
          <w:szCs w:val="26"/>
        </w:rPr>
      </w:pPr>
    </w:p>
    <w:p w:rsidR="003162BE" w:rsidRPr="003162BE" w:rsidP="001244A1" w14:paraId="623E8AAA" w14:textId="1878A9E8">
      <w:pPr>
        <w:spacing w:before="240" w:after="240"/>
        <w:contextualSpacing/>
        <w:jc w:val="both"/>
        <w:rPr>
          <w:sz w:val="26"/>
          <w:szCs w:val="26"/>
        </w:rPr>
      </w:pPr>
      <w:r w:rsidRPr="003162BE">
        <w:rPr>
          <w:b/>
          <w:bCs/>
          <w:sz w:val="26"/>
          <w:szCs w:val="26"/>
        </w:rPr>
        <w:t>Item D.4. Fiscalização Ordenada</w:t>
      </w:r>
    </w:p>
    <w:p w:rsidR="003162BE" w:rsidRPr="003162BE" w:rsidP="00956CA5" w14:paraId="145A8B08" w14:textId="77777777">
      <w:pPr>
        <w:numPr>
          <w:ilvl w:val="0"/>
          <w:numId w:val="14"/>
        </w:numPr>
        <w:spacing w:before="240"/>
        <w:contextualSpacing/>
        <w:jc w:val="both"/>
        <w:textAlignment w:val="baseline"/>
        <w:rPr>
          <w:sz w:val="26"/>
          <w:szCs w:val="26"/>
        </w:rPr>
      </w:pPr>
      <w:r w:rsidRPr="003162BE">
        <w:rPr>
          <w:sz w:val="26"/>
          <w:szCs w:val="26"/>
        </w:rPr>
        <w:t>Irregularidades que permanecem na segunda verificação:</w:t>
      </w:r>
    </w:p>
    <w:p w:rsidR="003162BE" w:rsidRPr="003162BE" w:rsidP="00956CA5" w14:paraId="70945B44" w14:textId="77777777">
      <w:pPr>
        <w:numPr>
          <w:ilvl w:val="0"/>
          <w:numId w:val="14"/>
        </w:numPr>
        <w:contextualSpacing/>
        <w:jc w:val="both"/>
        <w:textAlignment w:val="baseline"/>
        <w:rPr>
          <w:sz w:val="26"/>
          <w:szCs w:val="26"/>
        </w:rPr>
      </w:pPr>
      <w:r w:rsidRPr="003162BE">
        <w:rPr>
          <w:sz w:val="26"/>
          <w:szCs w:val="26"/>
        </w:rPr>
        <w:t>Ausência de Auto de Vistoria do Corpo de Bombeiros - AVCB no local;</w:t>
      </w:r>
    </w:p>
    <w:p w:rsidR="003162BE" w:rsidRPr="003162BE" w:rsidP="00956CA5" w14:paraId="067E23BC" w14:textId="028AA0A8">
      <w:pPr>
        <w:numPr>
          <w:ilvl w:val="0"/>
          <w:numId w:val="14"/>
        </w:numPr>
        <w:contextualSpacing/>
        <w:jc w:val="both"/>
        <w:textAlignment w:val="baseline"/>
        <w:rPr>
          <w:sz w:val="26"/>
          <w:szCs w:val="26"/>
        </w:rPr>
      </w:pPr>
      <w:r w:rsidRPr="003162BE">
        <w:rPr>
          <w:sz w:val="26"/>
          <w:szCs w:val="26"/>
        </w:rPr>
        <w:t xml:space="preserve">Refrigerador para medicamentos ligado por meio de extensão, em tomada compartilhada com </w:t>
      </w:r>
      <w:r w:rsidRPr="0050201B" w:rsidR="005C3A28">
        <w:rPr>
          <w:sz w:val="26"/>
          <w:szCs w:val="26"/>
        </w:rPr>
        <w:t>ar-condicionado</w:t>
      </w:r>
      <w:r w:rsidRPr="003162BE">
        <w:rPr>
          <w:sz w:val="26"/>
          <w:szCs w:val="26"/>
        </w:rPr>
        <w:t>;</w:t>
      </w:r>
    </w:p>
    <w:p w:rsidR="003162BE" w:rsidRPr="003162BE" w:rsidP="00956CA5" w14:paraId="302DA9A8" w14:textId="77777777">
      <w:pPr>
        <w:numPr>
          <w:ilvl w:val="0"/>
          <w:numId w:val="14"/>
        </w:numPr>
        <w:contextualSpacing/>
        <w:jc w:val="both"/>
        <w:textAlignment w:val="baseline"/>
        <w:rPr>
          <w:sz w:val="26"/>
          <w:szCs w:val="26"/>
        </w:rPr>
      </w:pPr>
      <w:r w:rsidRPr="003162BE">
        <w:rPr>
          <w:sz w:val="26"/>
          <w:szCs w:val="26"/>
        </w:rPr>
        <w:t>Houve descarte por motivo de vencimento de medicamento de uso controlado nos últimos 6 meses;</w:t>
      </w:r>
    </w:p>
    <w:p w:rsidR="003162BE" w:rsidRPr="003162BE" w:rsidP="00956CA5" w14:paraId="62D25B02" w14:textId="77777777">
      <w:pPr>
        <w:numPr>
          <w:ilvl w:val="0"/>
          <w:numId w:val="14"/>
        </w:numPr>
        <w:contextualSpacing/>
        <w:jc w:val="both"/>
        <w:textAlignment w:val="baseline"/>
        <w:rPr>
          <w:sz w:val="26"/>
          <w:szCs w:val="26"/>
        </w:rPr>
      </w:pPr>
      <w:r w:rsidRPr="003162BE">
        <w:rPr>
          <w:sz w:val="26"/>
          <w:szCs w:val="26"/>
        </w:rPr>
        <w:t>Houve descarte por motivo de vencimento de outros medicamentos nos últimos 6 meses;</w:t>
      </w:r>
    </w:p>
    <w:p w:rsidR="003162BE" w:rsidRPr="003162BE" w:rsidP="00956CA5" w14:paraId="3AFA58C8" w14:textId="5A552FF2">
      <w:pPr>
        <w:numPr>
          <w:ilvl w:val="0"/>
          <w:numId w:val="14"/>
        </w:numPr>
        <w:spacing w:after="240"/>
        <w:contextualSpacing/>
        <w:jc w:val="both"/>
        <w:textAlignment w:val="baseline"/>
        <w:rPr>
          <w:sz w:val="26"/>
          <w:szCs w:val="26"/>
        </w:rPr>
      </w:pPr>
      <w:r w:rsidRPr="003162BE">
        <w:rPr>
          <w:sz w:val="26"/>
          <w:szCs w:val="26"/>
        </w:rPr>
        <w:t>Distribuição de medicamentos fracionados em desacordo com a RDC (</w:t>
      </w:r>
      <w:r w:rsidRPr="003162BE">
        <w:rPr>
          <w:sz w:val="26"/>
          <w:szCs w:val="26"/>
          <w:shd w:val="clear" w:color="auto" w:fill="FFFFFF"/>
        </w:rPr>
        <w:t>Resolução da Diretoria Colegiada)</w:t>
      </w:r>
      <w:r w:rsidR="00A04EE7">
        <w:rPr>
          <w:sz w:val="26"/>
          <w:szCs w:val="26"/>
          <w:shd w:val="clear" w:color="auto" w:fill="FFFFFF"/>
        </w:rPr>
        <w:t xml:space="preserve"> nº</w:t>
      </w:r>
      <w:r w:rsidRPr="003162BE">
        <w:rPr>
          <w:sz w:val="26"/>
          <w:szCs w:val="26"/>
          <w:shd w:val="clear" w:color="auto" w:fill="FFFFFF"/>
        </w:rPr>
        <w:t xml:space="preserve"> </w:t>
      </w:r>
      <w:r w:rsidRPr="003162BE">
        <w:rPr>
          <w:sz w:val="26"/>
          <w:szCs w:val="26"/>
        </w:rPr>
        <w:t>80/2016 - Anvisa.</w:t>
      </w:r>
    </w:p>
    <w:p w:rsidR="00BA1DC5" w:rsidRPr="0050201B" w:rsidP="001244A1" w14:paraId="6403887D" w14:textId="77777777">
      <w:pPr>
        <w:spacing w:before="240" w:after="240"/>
        <w:contextualSpacing/>
        <w:jc w:val="both"/>
        <w:rPr>
          <w:b/>
          <w:bCs/>
          <w:sz w:val="26"/>
          <w:szCs w:val="26"/>
        </w:rPr>
      </w:pPr>
    </w:p>
    <w:p w:rsidR="003162BE" w:rsidRPr="003162BE" w:rsidP="001244A1" w14:paraId="312CD091" w14:textId="6D8D625D">
      <w:pPr>
        <w:spacing w:before="240" w:after="240"/>
        <w:contextualSpacing/>
        <w:jc w:val="both"/>
        <w:rPr>
          <w:sz w:val="26"/>
          <w:szCs w:val="26"/>
        </w:rPr>
      </w:pPr>
      <w:r w:rsidRPr="003162BE">
        <w:rPr>
          <w:b/>
          <w:bCs/>
          <w:sz w:val="26"/>
          <w:szCs w:val="26"/>
        </w:rPr>
        <w:t>Item D.6 Outros aspectos de saúde relacionados à movimentação da conta vinculada, laboratório de análises clínicas, realização de consultas pelo SUS e situação das condições de trabalho e dos prédios da saúde - fiscalização de natureza operacional (cumprimento de determinação das contas 2.015)</w:t>
      </w:r>
    </w:p>
    <w:p w:rsidR="003162BE" w:rsidRPr="003162BE" w:rsidP="00956CA5" w14:paraId="1F4A1156" w14:textId="77777777">
      <w:pPr>
        <w:numPr>
          <w:ilvl w:val="0"/>
          <w:numId w:val="15"/>
        </w:numPr>
        <w:spacing w:before="240" w:after="240"/>
        <w:contextualSpacing/>
        <w:jc w:val="both"/>
        <w:textAlignment w:val="baseline"/>
        <w:rPr>
          <w:sz w:val="26"/>
          <w:szCs w:val="26"/>
        </w:rPr>
      </w:pPr>
      <w:r w:rsidRPr="003162BE">
        <w:rPr>
          <w:sz w:val="26"/>
          <w:szCs w:val="26"/>
        </w:rPr>
        <w:t>Permanece a maioria das impropriedades neste exercício, as medidas anunciadas na defesa ainda não foram implementadas e/ou suficientes para corrigir os problemas apontados.</w:t>
      </w:r>
    </w:p>
    <w:p w:rsidR="00BA1DC5" w:rsidRPr="0050201B" w:rsidP="001244A1" w14:paraId="40C14793" w14:textId="77777777">
      <w:pPr>
        <w:spacing w:before="240" w:after="240"/>
        <w:contextualSpacing/>
        <w:jc w:val="both"/>
        <w:rPr>
          <w:b/>
          <w:bCs/>
          <w:sz w:val="26"/>
          <w:szCs w:val="26"/>
        </w:rPr>
      </w:pPr>
    </w:p>
    <w:p w:rsidR="003162BE" w:rsidRPr="003162BE" w:rsidP="001244A1" w14:paraId="7787CEBB" w14:textId="7698033E">
      <w:pPr>
        <w:spacing w:before="240" w:after="240"/>
        <w:contextualSpacing/>
        <w:jc w:val="both"/>
        <w:rPr>
          <w:sz w:val="26"/>
          <w:szCs w:val="26"/>
        </w:rPr>
      </w:pPr>
      <w:r w:rsidRPr="003162BE">
        <w:rPr>
          <w:b/>
          <w:bCs/>
          <w:sz w:val="26"/>
          <w:szCs w:val="26"/>
        </w:rPr>
        <w:t>Item D.7. Repasses ao Terceiro Setor - Santa Casa de Misericórdia</w:t>
      </w:r>
    </w:p>
    <w:p w:rsidR="003162BE" w:rsidRPr="003162BE" w:rsidP="00956CA5" w14:paraId="3012C882" w14:textId="7018F749">
      <w:pPr>
        <w:numPr>
          <w:ilvl w:val="0"/>
          <w:numId w:val="16"/>
        </w:numPr>
        <w:spacing w:before="240" w:after="240"/>
        <w:contextualSpacing/>
        <w:jc w:val="both"/>
        <w:textAlignment w:val="baseline"/>
        <w:rPr>
          <w:sz w:val="26"/>
          <w:szCs w:val="26"/>
        </w:rPr>
      </w:pPr>
      <w:r w:rsidRPr="003162BE">
        <w:rPr>
          <w:sz w:val="26"/>
          <w:szCs w:val="26"/>
        </w:rPr>
        <w:t>Em relação a transparência das entidades do Terceiro Setor que receberam recursos públicos em 2</w:t>
      </w:r>
      <w:r w:rsidR="00B96BF7">
        <w:rPr>
          <w:sz w:val="26"/>
          <w:szCs w:val="26"/>
        </w:rPr>
        <w:t>.</w:t>
      </w:r>
      <w:r w:rsidRPr="003162BE">
        <w:rPr>
          <w:sz w:val="26"/>
          <w:szCs w:val="26"/>
        </w:rPr>
        <w:t xml:space="preserve">018, verificamos que a Santa Casa </w:t>
      </w:r>
      <w:r w:rsidRPr="003162BE">
        <w:rPr>
          <w:b/>
          <w:bCs/>
          <w:sz w:val="26"/>
          <w:szCs w:val="26"/>
        </w:rPr>
        <w:t>não</w:t>
      </w:r>
      <w:r w:rsidRPr="003162BE">
        <w:rPr>
          <w:sz w:val="26"/>
          <w:szCs w:val="26"/>
        </w:rPr>
        <w:t xml:space="preserve"> disponibiliza em seu sítio eletrônico o estatuto social, os termos de ajuste, planos de trabalho, valores repassados, relação nominal dos dirigentes, lista dos prestadores de serviço, remuneração de dirigentes e empregados com os respectivos nomes e cargos e nem mesmo seus balanços e demonstrações contábeis, pois os únicos balanços que se encontravam disponibilizados era</w:t>
      </w:r>
      <w:r w:rsidR="00C23E94">
        <w:rPr>
          <w:sz w:val="26"/>
          <w:szCs w:val="26"/>
        </w:rPr>
        <w:t>m</w:t>
      </w:r>
      <w:r w:rsidRPr="003162BE">
        <w:rPr>
          <w:sz w:val="26"/>
          <w:szCs w:val="26"/>
        </w:rPr>
        <w:t xml:space="preserve"> de 2.017, em afronta ao Comunicado SDG  nº 16/2018 desta E</w:t>
      </w:r>
      <w:r w:rsidRPr="0050201B" w:rsidR="005C3A28">
        <w:rPr>
          <w:sz w:val="26"/>
          <w:szCs w:val="26"/>
        </w:rPr>
        <w:t xml:space="preserve">grégia </w:t>
      </w:r>
      <w:r w:rsidRPr="003162BE">
        <w:rPr>
          <w:sz w:val="26"/>
          <w:szCs w:val="26"/>
        </w:rPr>
        <w:t>Corte.</w:t>
      </w:r>
    </w:p>
    <w:p w:rsidR="00BA1DC5" w:rsidRPr="0050201B" w:rsidP="001244A1" w14:paraId="289DFDD1" w14:textId="77777777">
      <w:pPr>
        <w:spacing w:before="240" w:after="240"/>
        <w:contextualSpacing/>
        <w:jc w:val="both"/>
        <w:rPr>
          <w:b/>
          <w:bCs/>
          <w:sz w:val="26"/>
          <w:szCs w:val="26"/>
        </w:rPr>
      </w:pPr>
    </w:p>
    <w:p w:rsidR="003162BE" w:rsidRPr="003162BE" w:rsidP="001244A1" w14:paraId="5BA2DE58" w14:textId="51E3BB87">
      <w:pPr>
        <w:spacing w:before="240" w:after="240"/>
        <w:contextualSpacing/>
        <w:jc w:val="both"/>
        <w:rPr>
          <w:sz w:val="26"/>
          <w:szCs w:val="26"/>
        </w:rPr>
      </w:pPr>
      <w:r w:rsidRPr="003162BE">
        <w:rPr>
          <w:b/>
          <w:bCs/>
          <w:sz w:val="26"/>
          <w:szCs w:val="26"/>
        </w:rPr>
        <w:t>Item E.1 - IEG-M - IAMB</w:t>
      </w:r>
    </w:p>
    <w:p w:rsidR="003162BE" w:rsidRPr="003162BE" w:rsidP="00956CA5" w14:paraId="1238BBE0" w14:textId="31A1BC29">
      <w:pPr>
        <w:numPr>
          <w:ilvl w:val="0"/>
          <w:numId w:val="17"/>
        </w:numPr>
        <w:spacing w:before="240"/>
        <w:contextualSpacing/>
        <w:jc w:val="both"/>
        <w:textAlignment w:val="baseline"/>
        <w:rPr>
          <w:sz w:val="26"/>
          <w:szCs w:val="26"/>
        </w:rPr>
      </w:pPr>
      <w:r w:rsidRPr="003162BE">
        <w:rPr>
          <w:sz w:val="26"/>
          <w:szCs w:val="26"/>
        </w:rPr>
        <w:t>A prefeitura não possui Plano de Gestão de Resíduos da Construção Civil elaborado e implantado de acordo com a resolução CONAMA</w:t>
      </w:r>
      <w:r w:rsidR="00C23E94">
        <w:rPr>
          <w:sz w:val="26"/>
          <w:szCs w:val="26"/>
        </w:rPr>
        <w:t xml:space="preserve"> (Conselho Nacional do Meio Ambiente) nº</w:t>
      </w:r>
      <w:r w:rsidRPr="003162BE">
        <w:rPr>
          <w:sz w:val="26"/>
          <w:szCs w:val="26"/>
        </w:rPr>
        <w:t xml:space="preserve"> 307/2002 e suas alterações.</w:t>
      </w:r>
    </w:p>
    <w:p w:rsidR="003162BE" w:rsidRPr="003162BE" w:rsidP="00956CA5" w14:paraId="258C350D" w14:textId="77777777">
      <w:pPr>
        <w:numPr>
          <w:ilvl w:val="0"/>
          <w:numId w:val="17"/>
        </w:numPr>
        <w:contextualSpacing/>
        <w:jc w:val="both"/>
        <w:textAlignment w:val="baseline"/>
        <w:rPr>
          <w:sz w:val="26"/>
          <w:szCs w:val="26"/>
        </w:rPr>
      </w:pPr>
      <w:r w:rsidRPr="003162BE">
        <w:rPr>
          <w:sz w:val="26"/>
          <w:szCs w:val="26"/>
        </w:rPr>
        <w:t>O município não possui cronograma de manutenção preventiva ou de substituição da frota municipal.</w:t>
      </w:r>
    </w:p>
    <w:p w:rsidR="003162BE" w:rsidRPr="003162BE" w:rsidP="00956CA5" w14:paraId="0EDC01CD" w14:textId="77777777">
      <w:pPr>
        <w:numPr>
          <w:ilvl w:val="0"/>
          <w:numId w:val="17"/>
        </w:numPr>
        <w:contextualSpacing/>
        <w:jc w:val="both"/>
        <w:textAlignment w:val="baseline"/>
        <w:rPr>
          <w:sz w:val="26"/>
          <w:szCs w:val="26"/>
        </w:rPr>
      </w:pPr>
      <w:r w:rsidRPr="003162BE">
        <w:rPr>
          <w:sz w:val="26"/>
          <w:szCs w:val="26"/>
        </w:rPr>
        <w:t>Não há plano emergencial com ações para fornecimento de água potável à população em caso de sua escassez.</w:t>
      </w:r>
    </w:p>
    <w:p w:rsidR="003162BE" w:rsidRPr="003162BE" w:rsidP="00956CA5" w14:paraId="293DD34A" w14:textId="77777777">
      <w:pPr>
        <w:numPr>
          <w:ilvl w:val="0"/>
          <w:numId w:val="17"/>
        </w:numPr>
        <w:spacing w:after="240"/>
        <w:contextualSpacing/>
        <w:jc w:val="both"/>
        <w:textAlignment w:val="baseline"/>
        <w:rPr>
          <w:sz w:val="26"/>
          <w:szCs w:val="26"/>
        </w:rPr>
      </w:pPr>
      <w:r w:rsidRPr="003162BE">
        <w:rPr>
          <w:sz w:val="26"/>
          <w:szCs w:val="26"/>
        </w:rPr>
        <w:t>O município não realiza processamento de resíduos, quer seja mediante reciclagem, compostagem, reutilização ou outra forma de processamento antes de aterrar o lixo.</w:t>
      </w:r>
    </w:p>
    <w:p w:rsidR="00BA1DC5" w:rsidRPr="0050201B" w:rsidP="001244A1" w14:paraId="4E19F22D" w14:textId="77777777">
      <w:pPr>
        <w:spacing w:before="240" w:after="240"/>
        <w:contextualSpacing/>
        <w:jc w:val="both"/>
        <w:rPr>
          <w:b/>
          <w:bCs/>
          <w:sz w:val="26"/>
          <w:szCs w:val="26"/>
        </w:rPr>
      </w:pPr>
    </w:p>
    <w:p w:rsidR="003162BE" w:rsidRPr="003162BE" w:rsidP="001244A1" w14:paraId="43DF921A" w14:textId="501EF140">
      <w:pPr>
        <w:spacing w:before="240" w:after="240"/>
        <w:contextualSpacing/>
        <w:jc w:val="both"/>
        <w:rPr>
          <w:sz w:val="26"/>
          <w:szCs w:val="26"/>
        </w:rPr>
      </w:pPr>
      <w:r w:rsidRPr="003162BE">
        <w:rPr>
          <w:b/>
          <w:bCs/>
          <w:sz w:val="26"/>
          <w:szCs w:val="26"/>
        </w:rPr>
        <w:t>Item F.1 - IEG-M - I-Cidade</w:t>
      </w:r>
    </w:p>
    <w:p w:rsidR="003162BE" w:rsidRPr="003162BE" w:rsidP="00956CA5" w14:paraId="72F4CF93" w14:textId="77777777">
      <w:pPr>
        <w:numPr>
          <w:ilvl w:val="0"/>
          <w:numId w:val="18"/>
        </w:numPr>
        <w:spacing w:before="240"/>
        <w:contextualSpacing/>
        <w:jc w:val="both"/>
        <w:textAlignment w:val="baseline"/>
        <w:rPr>
          <w:sz w:val="26"/>
          <w:szCs w:val="26"/>
        </w:rPr>
      </w:pPr>
      <w:r w:rsidRPr="003162BE">
        <w:rPr>
          <w:sz w:val="26"/>
          <w:szCs w:val="26"/>
        </w:rPr>
        <w:t>O município não se utiliza de registro eletrônico para cadastramento de ocorrência da Defesa Civil.</w:t>
      </w:r>
    </w:p>
    <w:p w:rsidR="003162BE" w:rsidRPr="003162BE" w:rsidP="00956CA5" w14:paraId="34CC3C54" w14:textId="77777777">
      <w:pPr>
        <w:numPr>
          <w:ilvl w:val="0"/>
          <w:numId w:val="18"/>
        </w:numPr>
        <w:contextualSpacing/>
        <w:jc w:val="both"/>
        <w:textAlignment w:val="baseline"/>
        <w:rPr>
          <w:sz w:val="26"/>
          <w:szCs w:val="26"/>
        </w:rPr>
      </w:pPr>
      <w:r w:rsidRPr="003162BE">
        <w:rPr>
          <w:sz w:val="26"/>
          <w:szCs w:val="26"/>
        </w:rPr>
        <w:t>O município possui um estudo de avaliação da segurança de todas as escolas e centros de saúde, atualizado.</w:t>
      </w:r>
    </w:p>
    <w:p w:rsidR="003162BE" w:rsidRPr="003162BE" w:rsidP="00956CA5" w14:paraId="1A333B29" w14:textId="6DDD0038">
      <w:pPr>
        <w:numPr>
          <w:ilvl w:val="0"/>
          <w:numId w:val="18"/>
        </w:numPr>
        <w:spacing w:after="240"/>
        <w:contextualSpacing/>
        <w:jc w:val="both"/>
        <w:textAlignment w:val="baseline"/>
        <w:rPr>
          <w:sz w:val="26"/>
          <w:szCs w:val="26"/>
        </w:rPr>
      </w:pPr>
      <w:r w:rsidRPr="003162BE">
        <w:rPr>
          <w:sz w:val="26"/>
          <w:szCs w:val="26"/>
        </w:rPr>
        <w:t>O município não utiliza sistemas de alerta e alarme para desastres, conforme consta na Lei nº 12.608/12 sobre Política de proteção e Defesa Civil em seu artigo 8º.</w:t>
      </w:r>
    </w:p>
    <w:p w:rsidR="00BA1DC5" w:rsidRPr="0050201B" w:rsidP="001244A1" w14:paraId="61414351" w14:textId="77777777">
      <w:pPr>
        <w:spacing w:before="240" w:after="240"/>
        <w:contextualSpacing/>
        <w:jc w:val="both"/>
        <w:rPr>
          <w:b/>
          <w:bCs/>
          <w:sz w:val="26"/>
          <w:szCs w:val="26"/>
        </w:rPr>
      </w:pPr>
    </w:p>
    <w:p w:rsidR="00BA1DC5" w:rsidRPr="0050201B" w:rsidP="001244A1" w14:paraId="31423CCE" w14:textId="77777777">
      <w:pPr>
        <w:spacing w:before="240" w:after="240"/>
        <w:contextualSpacing/>
        <w:jc w:val="both"/>
        <w:rPr>
          <w:b/>
          <w:bCs/>
          <w:sz w:val="26"/>
          <w:szCs w:val="26"/>
        </w:rPr>
      </w:pPr>
    </w:p>
    <w:p w:rsidR="00BA1DC5" w:rsidRPr="0050201B" w:rsidP="001244A1" w14:paraId="4EDF2FEF" w14:textId="77777777">
      <w:pPr>
        <w:spacing w:before="240" w:after="240"/>
        <w:contextualSpacing/>
        <w:jc w:val="both"/>
        <w:rPr>
          <w:b/>
          <w:bCs/>
          <w:sz w:val="26"/>
          <w:szCs w:val="26"/>
        </w:rPr>
      </w:pPr>
    </w:p>
    <w:p w:rsidR="003162BE" w:rsidRPr="003162BE" w:rsidP="001244A1" w14:paraId="3A7142CD" w14:textId="5523862C">
      <w:pPr>
        <w:spacing w:before="240" w:after="240"/>
        <w:contextualSpacing/>
        <w:jc w:val="both"/>
        <w:rPr>
          <w:sz w:val="26"/>
          <w:szCs w:val="26"/>
        </w:rPr>
      </w:pPr>
      <w:r w:rsidRPr="003162BE">
        <w:rPr>
          <w:b/>
          <w:bCs/>
          <w:sz w:val="26"/>
          <w:szCs w:val="26"/>
        </w:rPr>
        <w:t>Item G.1.1 - A Lei de acesso à informação e a Lei da Transparência Fiscal</w:t>
      </w:r>
    </w:p>
    <w:p w:rsidR="003162BE" w:rsidRPr="003162BE" w:rsidP="00956CA5" w14:paraId="261C8113" w14:textId="77777777">
      <w:pPr>
        <w:numPr>
          <w:ilvl w:val="0"/>
          <w:numId w:val="19"/>
        </w:numPr>
        <w:spacing w:before="240" w:after="240"/>
        <w:contextualSpacing/>
        <w:jc w:val="both"/>
        <w:textAlignment w:val="baseline"/>
        <w:rPr>
          <w:sz w:val="26"/>
          <w:szCs w:val="26"/>
        </w:rPr>
      </w:pPr>
      <w:r w:rsidRPr="003162BE">
        <w:rPr>
          <w:sz w:val="26"/>
          <w:szCs w:val="26"/>
        </w:rPr>
        <w:t>O site não contém dados gerais para o acompanhamento de programas, ações, projetos e obras de órgãos e entidades previstas ou em execução no orçamento vigente;</w:t>
      </w:r>
    </w:p>
    <w:p w:rsidR="00BA1DC5" w:rsidRPr="0050201B" w:rsidP="001244A1" w14:paraId="78133F08" w14:textId="77777777">
      <w:pPr>
        <w:spacing w:before="240" w:after="240"/>
        <w:contextualSpacing/>
        <w:jc w:val="both"/>
        <w:rPr>
          <w:b/>
          <w:bCs/>
          <w:sz w:val="26"/>
          <w:szCs w:val="26"/>
        </w:rPr>
      </w:pPr>
    </w:p>
    <w:p w:rsidR="003162BE" w:rsidRPr="003162BE" w:rsidP="001244A1" w14:paraId="2E907E22" w14:textId="633EB784">
      <w:pPr>
        <w:spacing w:before="240" w:after="240"/>
        <w:contextualSpacing/>
        <w:jc w:val="both"/>
        <w:rPr>
          <w:sz w:val="26"/>
          <w:szCs w:val="26"/>
        </w:rPr>
      </w:pPr>
      <w:r w:rsidRPr="003162BE">
        <w:rPr>
          <w:b/>
          <w:bCs/>
          <w:sz w:val="26"/>
          <w:szCs w:val="26"/>
        </w:rPr>
        <w:t>Item G.3 - IEG-M - IGOV TI</w:t>
      </w:r>
    </w:p>
    <w:p w:rsidR="003162BE" w:rsidRPr="003162BE" w:rsidP="00956CA5" w14:paraId="7843BC15" w14:textId="77777777">
      <w:pPr>
        <w:numPr>
          <w:ilvl w:val="0"/>
          <w:numId w:val="20"/>
        </w:numPr>
        <w:spacing w:before="240"/>
        <w:contextualSpacing/>
        <w:jc w:val="both"/>
        <w:textAlignment w:val="baseline"/>
        <w:rPr>
          <w:sz w:val="26"/>
          <w:szCs w:val="26"/>
        </w:rPr>
      </w:pPr>
      <w:r w:rsidRPr="003162BE">
        <w:rPr>
          <w:sz w:val="26"/>
          <w:szCs w:val="26"/>
        </w:rPr>
        <w:t>A prefeitura municipal não possui um PDTI - Plano Diretor de Tecnologia da Informação vigente que estabeleça diretrizes e metas de atingimento no futuro.</w:t>
      </w:r>
    </w:p>
    <w:p w:rsidR="003162BE" w:rsidRPr="003162BE" w:rsidP="00956CA5" w14:paraId="59937ABF" w14:textId="77777777">
      <w:pPr>
        <w:numPr>
          <w:ilvl w:val="0"/>
          <w:numId w:val="20"/>
        </w:numPr>
        <w:contextualSpacing/>
        <w:jc w:val="both"/>
        <w:textAlignment w:val="baseline"/>
        <w:rPr>
          <w:sz w:val="26"/>
          <w:szCs w:val="26"/>
        </w:rPr>
      </w:pPr>
      <w:r w:rsidRPr="003162BE">
        <w:rPr>
          <w:sz w:val="26"/>
          <w:szCs w:val="26"/>
        </w:rPr>
        <w:t>A prefeitura não disponibiliza, periodicamente, programas de capacitação e atualização para o pessoal de TI;</w:t>
      </w:r>
    </w:p>
    <w:p w:rsidR="003162BE" w:rsidRPr="003162BE" w:rsidP="00956CA5" w14:paraId="09D8DAD1" w14:textId="77777777">
      <w:pPr>
        <w:numPr>
          <w:ilvl w:val="0"/>
          <w:numId w:val="20"/>
        </w:numPr>
        <w:contextualSpacing/>
        <w:jc w:val="both"/>
        <w:textAlignment w:val="baseline"/>
        <w:rPr>
          <w:sz w:val="26"/>
          <w:szCs w:val="26"/>
        </w:rPr>
      </w:pPr>
      <w:r w:rsidRPr="003162BE">
        <w:rPr>
          <w:sz w:val="26"/>
          <w:szCs w:val="26"/>
        </w:rPr>
        <w:t>Os dados relativos às atas da comissão de licitação de processos licitatórios não são divulgados na internet;</w:t>
      </w:r>
    </w:p>
    <w:p w:rsidR="003162BE" w:rsidRPr="003162BE" w:rsidP="00956CA5" w14:paraId="5F4F26D7" w14:textId="546E9A8A">
      <w:pPr>
        <w:numPr>
          <w:ilvl w:val="0"/>
          <w:numId w:val="20"/>
        </w:numPr>
        <w:contextualSpacing/>
        <w:jc w:val="both"/>
        <w:textAlignment w:val="baseline"/>
        <w:rPr>
          <w:sz w:val="26"/>
          <w:szCs w:val="26"/>
        </w:rPr>
      </w:pPr>
      <w:r w:rsidRPr="003162BE">
        <w:rPr>
          <w:sz w:val="26"/>
          <w:szCs w:val="26"/>
        </w:rPr>
        <w:t>O Município não informa e não mantém atualizado o Cadastro Nacional de Empresas idôneas e suspensas (CEIS) e o Cadastro Nacional de Empresas Punidas (CNEP), ambos dispostos nos artigos 22 e 23 da Lei Federal nº 12.843/13 (Lei Anticorrupção).</w:t>
      </w:r>
    </w:p>
    <w:p w:rsidR="003162BE" w:rsidRPr="003162BE" w:rsidP="00956CA5" w14:paraId="7A91F8AB" w14:textId="13C0B790">
      <w:pPr>
        <w:numPr>
          <w:ilvl w:val="0"/>
          <w:numId w:val="20"/>
        </w:numPr>
        <w:spacing w:after="240"/>
        <w:contextualSpacing/>
        <w:jc w:val="both"/>
        <w:textAlignment w:val="baseline"/>
        <w:rPr>
          <w:sz w:val="26"/>
          <w:szCs w:val="26"/>
        </w:rPr>
      </w:pPr>
      <w:r w:rsidRPr="003162BE">
        <w:rPr>
          <w:sz w:val="26"/>
          <w:szCs w:val="26"/>
        </w:rPr>
        <w:t>O não atendimento a esses quesitos do I-</w:t>
      </w:r>
      <w:r w:rsidRPr="003162BE">
        <w:rPr>
          <w:sz w:val="26"/>
          <w:szCs w:val="26"/>
        </w:rPr>
        <w:t>Gov</w:t>
      </w:r>
      <w:r w:rsidRPr="003162BE">
        <w:rPr>
          <w:sz w:val="26"/>
          <w:szCs w:val="26"/>
        </w:rPr>
        <w:t xml:space="preserve"> TI do IEG-M do exercício em exame, impacta o alcance das metas propostas pelo(s) Objetivo(s) de Desenvolvimento Sustentável nº 16.6 e 17.7, estabelecido(s) pela Agenda 2</w:t>
      </w:r>
      <w:r w:rsidR="00A15964">
        <w:rPr>
          <w:sz w:val="26"/>
          <w:szCs w:val="26"/>
        </w:rPr>
        <w:t>.</w:t>
      </w:r>
      <w:r w:rsidRPr="003162BE">
        <w:rPr>
          <w:sz w:val="26"/>
          <w:szCs w:val="26"/>
        </w:rPr>
        <w:t>030 entre países-membros da ONU.</w:t>
      </w:r>
    </w:p>
    <w:p w:rsidR="00BA1DC5" w:rsidRPr="0050201B" w:rsidP="001244A1" w14:paraId="07400F5F" w14:textId="77777777">
      <w:pPr>
        <w:spacing w:before="240" w:after="240"/>
        <w:contextualSpacing/>
        <w:jc w:val="both"/>
        <w:rPr>
          <w:b/>
          <w:bCs/>
          <w:sz w:val="26"/>
          <w:szCs w:val="26"/>
        </w:rPr>
      </w:pPr>
    </w:p>
    <w:p w:rsidR="003162BE" w:rsidRPr="003162BE" w:rsidP="001244A1" w14:paraId="4CFDADE8" w14:textId="7C22375C">
      <w:pPr>
        <w:spacing w:before="240" w:after="240"/>
        <w:contextualSpacing/>
        <w:jc w:val="both"/>
        <w:rPr>
          <w:sz w:val="26"/>
          <w:szCs w:val="26"/>
        </w:rPr>
      </w:pPr>
      <w:r w:rsidRPr="003162BE">
        <w:rPr>
          <w:b/>
          <w:bCs/>
          <w:sz w:val="26"/>
          <w:szCs w:val="26"/>
        </w:rPr>
        <w:t>Item H.2 - Atendimento à Lei Orgânica, instruções e do Tribunal de Contas do Estado de São Paulo.</w:t>
      </w:r>
    </w:p>
    <w:p w:rsidR="003162BE" w:rsidRPr="003162BE" w:rsidP="00956CA5" w14:paraId="3B058BCD" w14:textId="77777777">
      <w:pPr>
        <w:numPr>
          <w:ilvl w:val="0"/>
          <w:numId w:val="21"/>
        </w:numPr>
        <w:spacing w:before="240" w:after="240"/>
        <w:contextualSpacing/>
        <w:jc w:val="both"/>
        <w:textAlignment w:val="baseline"/>
        <w:rPr>
          <w:sz w:val="26"/>
          <w:szCs w:val="26"/>
        </w:rPr>
      </w:pPr>
      <w:r w:rsidRPr="003162BE">
        <w:rPr>
          <w:sz w:val="26"/>
          <w:szCs w:val="26"/>
        </w:rPr>
        <w:t>Não atendimento de diversas recomendações deste Egrégio Tribunal.</w:t>
      </w:r>
    </w:p>
    <w:p w:rsidR="00D156D0" w:rsidRPr="0050201B" w:rsidP="001244A1" w14:paraId="3B4EB1C5" w14:textId="3F9A701A">
      <w:pPr>
        <w:spacing w:before="240" w:after="240"/>
        <w:contextualSpacing/>
        <w:jc w:val="both"/>
        <w:rPr>
          <w:b/>
          <w:bCs/>
          <w:sz w:val="26"/>
          <w:szCs w:val="26"/>
          <w:u w:val="single"/>
        </w:rPr>
      </w:pPr>
    </w:p>
    <w:p w:rsidR="00BA1DC5" w:rsidRPr="0050201B" w:rsidP="001244A1" w14:paraId="22CB5EF4" w14:textId="77777777">
      <w:pPr>
        <w:spacing w:before="240" w:after="240"/>
        <w:contextualSpacing/>
        <w:jc w:val="both"/>
        <w:rPr>
          <w:b/>
          <w:bCs/>
          <w:sz w:val="26"/>
          <w:szCs w:val="26"/>
          <w:u w:val="single"/>
        </w:rPr>
      </w:pPr>
    </w:p>
    <w:p w:rsidR="003162BE" w:rsidRPr="0050201B" w:rsidP="001244A1" w14:paraId="151C210A" w14:textId="1378FE6C">
      <w:pPr>
        <w:spacing w:before="240" w:after="240"/>
        <w:contextualSpacing/>
        <w:jc w:val="both"/>
        <w:rPr>
          <w:b/>
          <w:bCs/>
          <w:sz w:val="26"/>
          <w:szCs w:val="26"/>
          <w:u w:val="single"/>
        </w:rPr>
      </w:pPr>
      <w:r w:rsidRPr="003162BE">
        <w:rPr>
          <w:b/>
          <w:bCs/>
          <w:sz w:val="26"/>
          <w:szCs w:val="26"/>
          <w:u w:val="single"/>
        </w:rPr>
        <w:t>Da Análise das Contas - Exercício de 2</w:t>
      </w:r>
      <w:r w:rsidRPr="0050201B" w:rsidR="005C3A28">
        <w:rPr>
          <w:b/>
          <w:bCs/>
          <w:sz w:val="26"/>
          <w:szCs w:val="26"/>
          <w:u w:val="single"/>
        </w:rPr>
        <w:t>.</w:t>
      </w:r>
      <w:r w:rsidRPr="003162BE">
        <w:rPr>
          <w:b/>
          <w:bCs/>
          <w:sz w:val="26"/>
          <w:szCs w:val="26"/>
          <w:u w:val="single"/>
        </w:rPr>
        <w:t>018 </w:t>
      </w:r>
    </w:p>
    <w:p w:rsidR="00BA1DC5" w:rsidRPr="003162BE" w:rsidP="001244A1" w14:paraId="23C52F88" w14:textId="77777777">
      <w:pPr>
        <w:spacing w:before="240" w:after="240"/>
        <w:contextualSpacing/>
        <w:jc w:val="both"/>
        <w:rPr>
          <w:b/>
          <w:bCs/>
          <w:sz w:val="26"/>
          <w:szCs w:val="26"/>
        </w:rPr>
      </w:pPr>
    </w:p>
    <w:p w:rsidR="003162BE" w:rsidRPr="003162BE" w:rsidP="001244A1" w14:paraId="732C3F2B" w14:textId="2DEF2760">
      <w:pPr>
        <w:spacing w:before="240" w:after="240"/>
        <w:contextualSpacing/>
        <w:jc w:val="both"/>
        <w:rPr>
          <w:sz w:val="26"/>
          <w:szCs w:val="26"/>
        </w:rPr>
      </w:pPr>
      <w:r w:rsidRPr="003162BE">
        <w:rPr>
          <w:sz w:val="26"/>
          <w:szCs w:val="26"/>
        </w:rPr>
        <w:t xml:space="preserve">Inicialmente, o Conselheiro Dr. </w:t>
      </w:r>
      <w:r w:rsidRPr="003162BE" w:rsidR="0012000C">
        <w:rPr>
          <w:sz w:val="26"/>
          <w:szCs w:val="26"/>
        </w:rPr>
        <w:t>Antônio</w:t>
      </w:r>
      <w:r w:rsidRPr="003162BE">
        <w:rPr>
          <w:sz w:val="26"/>
          <w:szCs w:val="26"/>
        </w:rPr>
        <w:t xml:space="preserve"> Roque Citadini apresenta a situação das Contas da Prefeitura Municipal de Mogi Mirim, relativas ao exercício de 2.018, da forma que segue:</w:t>
      </w:r>
    </w:p>
    <w:tbl>
      <w:tblPr>
        <w:tblStyle w:val="GridTable2"/>
        <w:tblW w:w="9214" w:type="dxa"/>
        <w:tblLook w:val="04A0"/>
      </w:tblPr>
      <w:tblGrid>
        <w:gridCol w:w="4536"/>
        <w:gridCol w:w="4678"/>
      </w:tblGrid>
      <w:tr w14:paraId="42D25C9E" w14:textId="77777777" w:rsidTr="005C3A28">
        <w:tblPrEx>
          <w:tblW w:w="9214" w:type="dxa"/>
          <w:tblLook w:val="04A0"/>
        </w:tblPrEx>
        <w:trPr>
          <w:trHeight w:val="295"/>
        </w:trPr>
        <w:tc>
          <w:tcPr>
            <w:tcW w:w="4536" w:type="dxa"/>
            <w:hideMark/>
          </w:tcPr>
          <w:p w:rsidR="003162BE" w:rsidRPr="003162BE" w:rsidP="001244A1" w14:paraId="038039DA" w14:textId="77777777">
            <w:pPr>
              <w:spacing w:before="240"/>
              <w:ind w:left="-100"/>
              <w:contextualSpacing/>
              <w:jc w:val="center"/>
              <w:rPr>
                <w:sz w:val="24"/>
                <w:szCs w:val="24"/>
              </w:rPr>
            </w:pPr>
            <w:r w:rsidRPr="003162BE">
              <w:rPr>
                <w:sz w:val="24"/>
                <w:szCs w:val="24"/>
              </w:rPr>
              <w:t>ITENS</w:t>
            </w:r>
          </w:p>
        </w:tc>
        <w:tc>
          <w:tcPr>
            <w:tcW w:w="4678" w:type="dxa"/>
            <w:hideMark/>
          </w:tcPr>
          <w:p w:rsidR="003162BE" w:rsidRPr="003162BE" w:rsidP="001244A1" w14:paraId="29A1E4C7" w14:textId="3D81F2A3">
            <w:pPr>
              <w:ind w:left="-60"/>
              <w:contextualSpacing/>
              <w:jc w:val="center"/>
              <w:rPr>
                <w:sz w:val="24"/>
                <w:szCs w:val="24"/>
              </w:rPr>
            </w:pPr>
            <w:r w:rsidRPr="003162BE">
              <w:rPr>
                <w:sz w:val="24"/>
                <w:szCs w:val="24"/>
              </w:rPr>
              <w:t>SITUAÇÃO</w:t>
            </w:r>
          </w:p>
        </w:tc>
      </w:tr>
      <w:tr w14:paraId="311DCC27" w14:textId="77777777" w:rsidTr="005C3A28">
        <w:tblPrEx>
          <w:tblW w:w="9214" w:type="dxa"/>
          <w:tblLook w:val="04A0"/>
        </w:tblPrEx>
        <w:trPr>
          <w:trHeight w:val="295"/>
        </w:trPr>
        <w:tc>
          <w:tcPr>
            <w:tcW w:w="4536" w:type="dxa"/>
            <w:hideMark/>
          </w:tcPr>
          <w:p w:rsidR="003162BE" w:rsidRPr="003162BE" w:rsidP="001244A1" w14:paraId="1B37E754" w14:textId="77777777">
            <w:pPr>
              <w:spacing w:before="240"/>
              <w:ind w:left="-100"/>
              <w:contextualSpacing/>
              <w:jc w:val="both"/>
              <w:rPr>
                <w:sz w:val="24"/>
                <w:szCs w:val="24"/>
              </w:rPr>
            </w:pPr>
            <w:r w:rsidRPr="003162BE">
              <w:rPr>
                <w:sz w:val="24"/>
                <w:szCs w:val="24"/>
              </w:rPr>
              <w:t>Ensino                        Ref. 25%</w:t>
            </w:r>
          </w:p>
        </w:tc>
        <w:tc>
          <w:tcPr>
            <w:tcW w:w="4678" w:type="dxa"/>
            <w:hideMark/>
          </w:tcPr>
          <w:p w:rsidR="003162BE" w:rsidRPr="003162BE" w:rsidP="001244A1" w14:paraId="4AB23165" w14:textId="2403B39F">
            <w:pPr>
              <w:ind w:left="-60"/>
              <w:contextualSpacing/>
              <w:jc w:val="center"/>
              <w:rPr>
                <w:sz w:val="24"/>
                <w:szCs w:val="24"/>
              </w:rPr>
            </w:pPr>
            <w:r w:rsidRPr="003162BE">
              <w:rPr>
                <w:b/>
                <w:bCs/>
                <w:sz w:val="24"/>
                <w:szCs w:val="24"/>
              </w:rPr>
              <w:t>29,34%</w:t>
            </w:r>
          </w:p>
        </w:tc>
      </w:tr>
      <w:tr w14:paraId="7FBB625A" w14:textId="77777777" w:rsidTr="005C3A28">
        <w:tblPrEx>
          <w:tblW w:w="9214" w:type="dxa"/>
          <w:tblLook w:val="04A0"/>
        </w:tblPrEx>
        <w:trPr>
          <w:trHeight w:val="295"/>
        </w:trPr>
        <w:tc>
          <w:tcPr>
            <w:tcW w:w="4536" w:type="dxa"/>
            <w:hideMark/>
          </w:tcPr>
          <w:p w:rsidR="003162BE" w:rsidRPr="003162BE" w:rsidP="001244A1" w14:paraId="5F2DD38D" w14:textId="7F6DCB89">
            <w:pPr>
              <w:spacing w:before="240"/>
              <w:ind w:left="-100"/>
              <w:contextualSpacing/>
              <w:jc w:val="both"/>
              <w:rPr>
                <w:sz w:val="24"/>
                <w:szCs w:val="24"/>
              </w:rPr>
            </w:pPr>
            <w:r w:rsidRPr="003162BE">
              <w:rPr>
                <w:sz w:val="24"/>
                <w:szCs w:val="24"/>
              </w:rPr>
              <w:t>FUNDEB                   Ref. 95% -</w:t>
            </w:r>
            <w:r w:rsidR="0076129B">
              <w:rPr>
                <w:sz w:val="24"/>
                <w:szCs w:val="24"/>
              </w:rPr>
              <w:t xml:space="preserve"> </w:t>
            </w:r>
            <w:r w:rsidRPr="003162BE">
              <w:rPr>
                <w:sz w:val="24"/>
                <w:szCs w:val="24"/>
              </w:rPr>
              <w:t>100%</w:t>
            </w:r>
          </w:p>
        </w:tc>
        <w:tc>
          <w:tcPr>
            <w:tcW w:w="4678" w:type="dxa"/>
            <w:hideMark/>
          </w:tcPr>
          <w:p w:rsidR="003162BE" w:rsidRPr="003162BE" w:rsidP="001244A1" w14:paraId="7C19AAD3" w14:textId="7309051B">
            <w:pPr>
              <w:spacing w:before="240"/>
              <w:ind w:left="-100"/>
              <w:contextualSpacing/>
              <w:jc w:val="center"/>
              <w:rPr>
                <w:sz w:val="24"/>
                <w:szCs w:val="24"/>
              </w:rPr>
            </w:pPr>
            <w:r w:rsidRPr="003162BE">
              <w:rPr>
                <w:b/>
                <w:bCs/>
                <w:sz w:val="24"/>
                <w:szCs w:val="24"/>
              </w:rPr>
              <w:t>100,00%</w:t>
            </w:r>
          </w:p>
        </w:tc>
      </w:tr>
      <w:tr w14:paraId="0141C5B3" w14:textId="77777777" w:rsidTr="005C3A28">
        <w:tblPrEx>
          <w:tblW w:w="9214" w:type="dxa"/>
          <w:tblLook w:val="04A0"/>
        </w:tblPrEx>
        <w:trPr>
          <w:trHeight w:val="295"/>
        </w:trPr>
        <w:tc>
          <w:tcPr>
            <w:tcW w:w="4536" w:type="dxa"/>
            <w:hideMark/>
          </w:tcPr>
          <w:p w:rsidR="003162BE" w:rsidRPr="003162BE" w:rsidP="001244A1" w14:paraId="52B900B8" w14:textId="77777777">
            <w:pPr>
              <w:spacing w:before="240"/>
              <w:ind w:left="-100"/>
              <w:contextualSpacing/>
              <w:jc w:val="both"/>
              <w:rPr>
                <w:sz w:val="24"/>
                <w:szCs w:val="24"/>
              </w:rPr>
            </w:pPr>
            <w:r w:rsidRPr="003162BE">
              <w:rPr>
                <w:sz w:val="24"/>
                <w:szCs w:val="24"/>
              </w:rPr>
              <w:t>Magistério                 Ref. 60%</w:t>
            </w:r>
          </w:p>
        </w:tc>
        <w:tc>
          <w:tcPr>
            <w:tcW w:w="4678" w:type="dxa"/>
            <w:hideMark/>
          </w:tcPr>
          <w:p w:rsidR="003162BE" w:rsidRPr="003162BE" w:rsidP="001244A1" w14:paraId="1E5D6D96" w14:textId="3C15C615">
            <w:pPr>
              <w:ind w:left="-60"/>
              <w:contextualSpacing/>
              <w:jc w:val="center"/>
              <w:rPr>
                <w:sz w:val="24"/>
                <w:szCs w:val="24"/>
              </w:rPr>
            </w:pPr>
            <w:r w:rsidRPr="003162BE">
              <w:rPr>
                <w:b/>
                <w:bCs/>
                <w:sz w:val="24"/>
                <w:szCs w:val="24"/>
              </w:rPr>
              <w:t>77,65%</w:t>
            </w:r>
          </w:p>
        </w:tc>
      </w:tr>
      <w:tr w14:paraId="263E9676" w14:textId="77777777" w:rsidTr="005C3A28">
        <w:tblPrEx>
          <w:tblW w:w="9214" w:type="dxa"/>
          <w:tblLook w:val="04A0"/>
        </w:tblPrEx>
        <w:trPr>
          <w:trHeight w:val="295"/>
        </w:trPr>
        <w:tc>
          <w:tcPr>
            <w:tcW w:w="4536" w:type="dxa"/>
            <w:hideMark/>
          </w:tcPr>
          <w:p w:rsidR="003162BE" w:rsidRPr="003162BE" w:rsidP="001244A1" w14:paraId="534A0BF7" w14:textId="77777777">
            <w:pPr>
              <w:spacing w:before="240"/>
              <w:ind w:left="-100"/>
              <w:contextualSpacing/>
              <w:jc w:val="both"/>
              <w:rPr>
                <w:sz w:val="24"/>
                <w:szCs w:val="24"/>
              </w:rPr>
            </w:pPr>
            <w:r w:rsidRPr="003162BE">
              <w:rPr>
                <w:sz w:val="24"/>
                <w:szCs w:val="24"/>
              </w:rPr>
              <w:t>Pessoal                       Limite 54%</w:t>
            </w:r>
          </w:p>
        </w:tc>
        <w:tc>
          <w:tcPr>
            <w:tcW w:w="4678" w:type="dxa"/>
            <w:hideMark/>
          </w:tcPr>
          <w:p w:rsidR="003162BE" w:rsidRPr="003162BE" w:rsidP="001244A1" w14:paraId="5AB9D573" w14:textId="2A5CF569">
            <w:pPr>
              <w:ind w:left="-60"/>
              <w:contextualSpacing/>
              <w:jc w:val="center"/>
              <w:rPr>
                <w:sz w:val="24"/>
                <w:szCs w:val="24"/>
              </w:rPr>
            </w:pPr>
            <w:r w:rsidRPr="003162BE">
              <w:rPr>
                <w:b/>
                <w:bCs/>
                <w:sz w:val="24"/>
                <w:szCs w:val="24"/>
              </w:rPr>
              <w:t>47,93%</w:t>
            </w:r>
          </w:p>
        </w:tc>
      </w:tr>
      <w:tr w14:paraId="07FC22DE" w14:textId="77777777" w:rsidTr="005C3A28">
        <w:tblPrEx>
          <w:tblW w:w="9214" w:type="dxa"/>
          <w:tblLook w:val="04A0"/>
        </w:tblPrEx>
        <w:trPr>
          <w:trHeight w:val="295"/>
        </w:trPr>
        <w:tc>
          <w:tcPr>
            <w:tcW w:w="4536" w:type="dxa"/>
            <w:hideMark/>
          </w:tcPr>
          <w:p w:rsidR="003162BE" w:rsidRPr="003162BE" w:rsidP="001244A1" w14:paraId="4A1F061B" w14:textId="77777777">
            <w:pPr>
              <w:spacing w:before="240"/>
              <w:ind w:left="-100"/>
              <w:contextualSpacing/>
              <w:jc w:val="both"/>
              <w:rPr>
                <w:sz w:val="24"/>
                <w:szCs w:val="24"/>
              </w:rPr>
            </w:pPr>
            <w:r w:rsidRPr="003162BE">
              <w:rPr>
                <w:sz w:val="24"/>
                <w:szCs w:val="24"/>
              </w:rPr>
              <w:t>Saúde                          Ref. 15%</w:t>
            </w:r>
          </w:p>
        </w:tc>
        <w:tc>
          <w:tcPr>
            <w:tcW w:w="4678" w:type="dxa"/>
            <w:hideMark/>
          </w:tcPr>
          <w:p w:rsidR="003162BE" w:rsidRPr="003162BE" w:rsidP="001244A1" w14:paraId="233A2076" w14:textId="4B3F988F">
            <w:pPr>
              <w:ind w:left="-60"/>
              <w:contextualSpacing/>
              <w:jc w:val="center"/>
              <w:rPr>
                <w:sz w:val="24"/>
                <w:szCs w:val="24"/>
              </w:rPr>
            </w:pPr>
            <w:r w:rsidRPr="003162BE">
              <w:rPr>
                <w:b/>
                <w:bCs/>
                <w:sz w:val="24"/>
                <w:szCs w:val="24"/>
              </w:rPr>
              <w:t>26,48%</w:t>
            </w:r>
          </w:p>
        </w:tc>
      </w:tr>
      <w:tr w14:paraId="05D5FF66" w14:textId="77777777" w:rsidTr="005C3A28">
        <w:tblPrEx>
          <w:tblW w:w="9214" w:type="dxa"/>
          <w:tblLook w:val="04A0"/>
        </w:tblPrEx>
        <w:trPr>
          <w:trHeight w:val="295"/>
        </w:trPr>
        <w:tc>
          <w:tcPr>
            <w:tcW w:w="4536" w:type="dxa"/>
            <w:hideMark/>
          </w:tcPr>
          <w:p w:rsidR="003162BE" w:rsidRPr="003162BE" w:rsidP="001244A1" w14:paraId="6ED24383" w14:textId="77777777">
            <w:pPr>
              <w:spacing w:before="240"/>
              <w:ind w:left="-100"/>
              <w:contextualSpacing/>
              <w:jc w:val="both"/>
              <w:rPr>
                <w:sz w:val="24"/>
                <w:szCs w:val="24"/>
              </w:rPr>
            </w:pPr>
            <w:r w:rsidRPr="003162BE">
              <w:rPr>
                <w:sz w:val="24"/>
                <w:szCs w:val="24"/>
              </w:rPr>
              <w:t>Transferência ao legislativo   Limite 7% </w:t>
            </w:r>
          </w:p>
        </w:tc>
        <w:tc>
          <w:tcPr>
            <w:tcW w:w="4678" w:type="dxa"/>
            <w:hideMark/>
          </w:tcPr>
          <w:p w:rsidR="003162BE" w:rsidRPr="003162BE" w:rsidP="001244A1" w14:paraId="1374E085" w14:textId="77777777">
            <w:pPr>
              <w:ind w:left="-60"/>
              <w:contextualSpacing/>
              <w:jc w:val="center"/>
              <w:rPr>
                <w:sz w:val="24"/>
                <w:szCs w:val="24"/>
              </w:rPr>
            </w:pPr>
            <w:r w:rsidRPr="003162BE">
              <w:rPr>
                <w:b/>
                <w:bCs/>
                <w:sz w:val="24"/>
                <w:szCs w:val="24"/>
              </w:rPr>
              <w:t>Regular</w:t>
            </w:r>
          </w:p>
        </w:tc>
      </w:tr>
      <w:tr w14:paraId="3988D627" w14:textId="77777777" w:rsidTr="005C3A28">
        <w:tblPrEx>
          <w:tblW w:w="9214" w:type="dxa"/>
          <w:tblLook w:val="04A0"/>
        </w:tblPrEx>
        <w:trPr>
          <w:trHeight w:val="295"/>
        </w:trPr>
        <w:tc>
          <w:tcPr>
            <w:tcW w:w="4536" w:type="dxa"/>
            <w:hideMark/>
          </w:tcPr>
          <w:p w:rsidR="003162BE" w:rsidRPr="003162BE" w:rsidP="001244A1" w14:paraId="7DB39E8E" w14:textId="77777777">
            <w:pPr>
              <w:spacing w:before="240"/>
              <w:ind w:left="-100"/>
              <w:contextualSpacing/>
              <w:jc w:val="both"/>
              <w:rPr>
                <w:sz w:val="24"/>
                <w:szCs w:val="24"/>
              </w:rPr>
            </w:pPr>
            <w:r w:rsidRPr="003162BE">
              <w:rPr>
                <w:sz w:val="24"/>
                <w:szCs w:val="24"/>
              </w:rPr>
              <w:t>Execução Orçamentária</w:t>
            </w:r>
          </w:p>
        </w:tc>
        <w:tc>
          <w:tcPr>
            <w:tcW w:w="4678" w:type="dxa"/>
            <w:hideMark/>
          </w:tcPr>
          <w:p w:rsidR="003162BE" w:rsidRPr="003162BE" w:rsidP="001244A1" w14:paraId="6ED697C2" w14:textId="77777777">
            <w:pPr>
              <w:ind w:left="-60"/>
              <w:contextualSpacing/>
              <w:jc w:val="center"/>
              <w:rPr>
                <w:sz w:val="24"/>
                <w:szCs w:val="24"/>
              </w:rPr>
            </w:pPr>
            <w:r w:rsidRPr="003162BE">
              <w:rPr>
                <w:b/>
                <w:bCs/>
                <w:sz w:val="24"/>
                <w:szCs w:val="24"/>
              </w:rPr>
              <w:t>Superávit 4,83%</w:t>
            </w:r>
          </w:p>
        </w:tc>
      </w:tr>
      <w:tr w14:paraId="609FDA38" w14:textId="77777777" w:rsidTr="005C3A28">
        <w:tblPrEx>
          <w:tblW w:w="9214" w:type="dxa"/>
          <w:tblLook w:val="04A0"/>
        </w:tblPrEx>
        <w:trPr>
          <w:trHeight w:val="295"/>
        </w:trPr>
        <w:tc>
          <w:tcPr>
            <w:tcW w:w="4536" w:type="dxa"/>
            <w:hideMark/>
          </w:tcPr>
          <w:p w:rsidR="003162BE" w:rsidRPr="003162BE" w:rsidP="001244A1" w14:paraId="518C6691" w14:textId="77777777">
            <w:pPr>
              <w:spacing w:before="240"/>
              <w:ind w:left="-100"/>
              <w:contextualSpacing/>
              <w:jc w:val="both"/>
              <w:rPr>
                <w:sz w:val="24"/>
                <w:szCs w:val="24"/>
              </w:rPr>
            </w:pPr>
            <w:r w:rsidRPr="003162BE">
              <w:rPr>
                <w:sz w:val="24"/>
                <w:szCs w:val="24"/>
              </w:rPr>
              <w:t>Remuneração dos Agentes Políticos </w:t>
            </w:r>
          </w:p>
        </w:tc>
        <w:tc>
          <w:tcPr>
            <w:tcW w:w="4678" w:type="dxa"/>
            <w:hideMark/>
          </w:tcPr>
          <w:p w:rsidR="003162BE" w:rsidRPr="003162BE" w:rsidP="001244A1" w14:paraId="12479EB2" w14:textId="77777777">
            <w:pPr>
              <w:ind w:left="-60"/>
              <w:contextualSpacing/>
              <w:jc w:val="center"/>
              <w:rPr>
                <w:sz w:val="24"/>
                <w:szCs w:val="24"/>
              </w:rPr>
            </w:pPr>
            <w:r w:rsidRPr="003162BE">
              <w:rPr>
                <w:b/>
                <w:bCs/>
                <w:sz w:val="24"/>
                <w:szCs w:val="24"/>
              </w:rPr>
              <w:t>Regular</w:t>
            </w:r>
          </w:p>
        </w:tc>
      </w:tr>
      <w:tr w14:paraId="7FA830B7" w14:textId="77777777" w:rsidTr="005C3A28">
        <w:tblPrEx>
          <w:tblW w:w="9214" w:type="dxa"/>
          <w:tblLook w:val="04A0"/>
        </w:tblPrEx>
        <w:trPr>
          <w:trHeight w:val="295"/>
        </w:trPr>
        <w:tc>
          <w:tcPr>
            <w:tcW w:w="4536" w:type="dxa"/>
            <w:hideMark/>
          </w:tcPr>
          <w:p w:rsidR="003162BE" w:rsidRPr="003162BE" w:rsidP="001244A1" w14:paraId="6F838217" w14:textId="77777777">
            <w:pPr>
              <w:spacing w:before="240"/>
              <w:ind w:left="-100"/>
              <w:contextualSpacing/>
              <w:jc w:val="both"/>
              <w:rPr>
                <w:sz w:val="24"/>
                <w:szCs w:val="24"/>
              </w:rPr>
            </w:pPr>
            <w:r w:rsidRPr="003162BE">
              <w:rPr>
                <w:sz w:val="24"/>
                <w:szCs w:val="24"/>
              </w:rPr>
              <w:t>Investimentos</w:t>
            </w:r>
          </w:p>
        </w:tc>
        <w:tc>
          <w:tcPr>
            <w:tcW w:w="4678" w:type="dxa"/>
            <w:hideMark/>
          </w:tcPr>
          <w:p w:rsidR="003162BE" w:rsidRPr="003162BE" w:rsidP="001244A1" w14:paraId="23228DD7" w14:textId="77777777">
            <w:pPr>
              <w:ind w:left="-60"/>
              <w:contextualSpacing/>
              <w:jc w:val="center"/>
              <w:rPr>
                <w:sz w:val="24"/>
                <w:szCs w:val="24"/>
              </w:rPr>
            </w:pPr>
            <w:r w:rsidRPr="003162BE">
              <w:rPr>
                <w:b/>
                <w:bCs/>
                <w:sz w:val="24"/>
                <w:szCs w:val="24"/>
              </w:rPr>
              <w:t>1,99%</w:t>
            </w:r>
          </w:p>
        </w:tc>
      </w:tr>
      <w:tr w14:paraId="6A241B6E" w14:textId="77777777" w:rsidTr="005C3A28">
        <w:tblPrEx>
          <w:tblW w:w="9214" w:type="dxa"/>
          <w:tblLook w:val="04A0"/>
        </w:tblPrEx>
        <w:trPr>
          <w:trHeight w:val="295"/>
        </w:trPr>
        <w:tc>
          <w:tcPr>
            <w:tcW w:w="4536" w:type="dxa"/>
            <w:hideMark/>
          </w:tcPr>
          <w:p w:rsidR="003162BE" w:rsidRPr="003162BE" w:rsidP="001244A1" w14:paraId="7261E4D9" w14:textId="77777777">
            <w:pPr>
              <w:spacing w:before="240"/>
              <w:ind w:left="-100"/>
              <w:contextualSpacing/>
              <w:jc w:val="both"/>
              <w:rPr>
                <w:sz w:val="24"/>
                <w:szCs w:val="24"/>
              </w:rPr>
            </w:pPr>
            <w:r w:rsidRPr="003162BE">
              <w:rPr>
                <w:sz w:val="24"/>
                <w:szCs w:val="24"/>
              </w:rPr>
              <w:t>Precatórios </w:t>
            </w:r>
          </w:p>
        </w:tc>
        <w:tc>
          <w:tcPr>
            <w:tcW w:w="4678" w:type="dxa"/>
            <w:hideMark/>
          </w:tcPr>
          <w:p w:rsidR="003162BE" w:rsidRPr="003162BE" w:rsidP="001244A1" w14:paraId="30954927" w14:textId="77777777">
            <w:pPr>
              <w:ind w:left="-60"/>
              <w:contextualSpacing/>
              <w:jc w:val="center"/>
              <w:rPr>
                <w:sz w:val="24"/>
                <w:szCs w:val="24"/>
              </w:rPr>
            </w:pPr>
            <w:r w:rsidRPr="003162BE">
              <w:rPr>
                <w:b/>
                <w:bCs/>
                <w:sz w:val="24"/>
                <w:szCs w:val="24"/>
              </w:rPr>
              <w:t>Regular</w:t>
            </w:r>
          </w:p>
        </w:tc>
      </w:tr>
      <w:tr w14:paraId="64CE9405" w14:textId="77777777" w:rsidTr="005C3A28">
        <w:tblPrEx>
          <w:tblW w:w="9214" w:type="dxa"/>
          <w:tblLook w:val="04A0"/>
        </w:tblPrEx>
        <w:trPr>
          <w:trHeight w:val="295"/>
        </w:trPr>
        <w:tc>
          <w:tcPr>
            <w:tcW w:w="4536" w:type="dxa"/>
            <w:hideMark/>
          </w:tcPr>
          <w:p w:rsidR="003162BE" w:rsidRPr="003162BE" w:rsidP="001244A1" w14:paraId="063D48FF" w14:textId="77777777">
            <w:pPr>
              <w:spacing w:before="240"/>
              <w:ind w:left="-100"/>
              <w:contextualSpacing/>
              <w:jc w:val="both"/>
              <w:rPr>
                <w:sz w:val="24"/>
                <w:szCs w:val="24"/>
              </w:rPr>
            </w:pPr>
            <w:r w:rsidRPr="003162BE">
              <w:rPr>
                <w:sz w:val="24"/>
                <w:szCs w:val="24"/>
              </w:rPr>
              <w:t>Encargos Sociais</w:t>
            </w:r>
          </w:p>
        </w:tc>
        <w:tc>
          <w:tcPr>
            <w:tcW w:w="4678" w:type="dxa"/>
            <w:hideMark/>
          </w:tcPr>
          <w:p w:rsidR="003162BE" w:rsidRPr="003162BE" w:rsidP="001244A1" w14:paraId="7825FFAD" w14:textId="77777777">
            <w:pPr>
              <w:ind w:left="-60"/>
              <w:contextualSpacing/>
              <w:jc w:val="center"/>
              <w:rPr>
                <w:sz w:val="24"/>
                <w:szCs w:val="24"/>
              </w:rPr>
            </w:pPr>
            <w:r w:rsidRPr="003162BE">
              <w:rPr>
                <w:b/>
                <w:bCs/>
                <w:sz w:val="24"/>
                <w:szCs w:val="24"/>
              </w:rPr>
              <w:t>Regular</w:t>
            </w:r>
          </w:p>
        </w:tc>
      </w:tr>
    </w:tbl>
    <w:p w:rsidR="003162BE" w:rsidRPr="0050201B" w:rsidP="001244A1" w14:paraId="64116D8A" w14:textId="5C913816">
      <w:pPr>
        <w:spacing w:before="240" w:after="240"/>
        <w:contextualSpacing/>
        <w:jc w:val="both"/>
        <w:rPr>
          <w:sz w:val="26"/>
          <w:szCs w:val="26"/>
        </w:rPr>
      </w:pPr>
      <w:r w:rsidRPr="003162BE">
        <w:rPr>
          <w:sz w:val="26"/>
          <w:szCs w:val="26"/>
        </w:rPr>
        <w:t>Verificou-se que foi atendido aos mandamentos constitucionais e legais referente à aplicação dos recursos no Ensino e na Saúde, bem como a observância aos limites de gastos com pessoal e transferência de recursos ao legislativo.</w:t>
      </w:r>
    </w:p>
    <w:p w:rsidR="00195CAB" w:rsidRPr="003162BE" w:rsidP="001244A1" w14:paraId="4A219AD4" w14:textId="77777777">
      <w:pPr>
        <w:spacing w:before="240" w:after="240"/>
        <w:contextualSpacing/>
        <w:jc w:val="both"/>
        <w:rPr>
          <w:sz w:val="26"/>
          <w:szCs w:val="26"/>
        </w:rPr>
      </w:pPr>
    </w:p>
    <w:p w:rsidR="003162BE" w:rsidRPr="0050201B" w:rsidP="001244A1" w14:paraId="0BA42C4A" w14:textId="063D9401">
      <w:pPr>
        <w:spacing w:before="240" w:after="240"/>
        <w:contextualSpacing/>
        <w:jc w:val="both"/>
        <w:rPr>
          <w:sz w:val="26"/>
          <w:szCs w:val="26"/>
        </w:rPr>
      </w:pPr>
      <w:r w:rsidRPr="003162BE">
        <w:rPr>
          <w:sz w:val="26"/>
          <w:szCs w:val="26"/>
        </w:rPr>
        <w:t>Válido destacar que o valor aplicado no ensino foi equivalente a 29,34% da receita resultante de impostos, superior ao mínimo estipulado de 25% conforme Constituição Federal, assim como o valor aplicado em ações e serviços de saúde que alcançou 26,48%, portanto, superior ao mínimo obrigatório de 15%.</w:t>
      </w:r>
    </w:p>
    <w:p w:rsidR="00195CAB" w:rsidRPr="003162BE" w:rsidP="001244A1" w14:paraId="0363ADCE" w14:textId="77777777">
      <w:pPr>
        <w:spacing w:before="240" w:after="240"/>
        <w:contextualSpacing/>
        <w:jc w:val="both"/>
        <w:rPr>
          <w:sz w:val="26"/>
          <w:szCs w:val="26"/>
        </w:rPr>
      </w:pPr>
    </w:p>
    <w:p w:rsidR="003162BE" w:rsidRPr="0050201B" w:rsidP="001244A1" w14:paraId="3443CE9A" w14:textId="220F573C">
      <w:pPr>
        <w:spacing w:before="240" w:after="240"/>
        <w:contextualSpacing/>
        <w:jc w:val="both"/>
        <w:rPr>
          <w:sz w:val="26"/>
          <w:szCs w:val="26"/>
        </w:rPr>
      </w:pPr>
      <w:r w:rsidRPr="003162BE">
        <w:rPr>
          <w:sz w:val="26"/>
          <w:szCs w:val="26"/>
        </w:rPr>
        <w:t>Ressalta-se que os resultados obtidos foram considerados satisfatórios na execução orçamentária, com um superávit de 4,83%, elevação do resultado patrimonial em 10,55% e investimentos correspondentes a 1,99%.</w:t>
      </w:r>
    </w:p>
    <w:p w:rsidR="00195CAB" w:rsidRPr="003162BE" w:rsidP="001244A1" w14:paraId="41925065" w14:textId="77777777">
      <w:pPr>
        <w:spacing w:before="240" w:after="240"/>
        <w:contextualSpacing/>
        <w:jc w:val="both"/>
        <w:rPr>
          <w:sz w:val="26"/>
          <w:szCs w:val="26"/>
        </w:rPr>
      </w:pPr>
    </w:p>
    <w:p w:rsidR="003162BE" w:rsidRPr="0050201B" w:rsidP="001244A1" w14:paraId="2859BADF" w14:textId="27350FFF">
      <w:pPr>
        <w:spacing w:before="240" w:after="240"/>
        <w:contextualSpacing/>
        <w:jc w:val="both"/>
        <w:rPr>
          <w:sz w:val="26"/>
          <w:szCs w:val="26"/>
        </w:rPr>
      </w:pPr>
      <w:r w:rsidRPr="003162BE">
        <w:rPr>
          <w:sz w:val="26"/>
          <w:szCs w:val="26"/>
        </w:rPr>
        <w:t xml:space="preserve">Um apontamento levantado pelo Setor de Cálculos da Assessoria Técnico-Jurídica analisou o desatendimento das determinações expedidas no julgamento das contas de 2.014 e 2.015 devido a não aplicação do saldo do FUNDEB daqueles exercícios, respectivamente nos valores de R$ 5.395,72 (cinco mil trezentos e noventa e cinco reais e setenta e dois centavos), e R$ 63.089,46 (sessenta e três mil, oitenta e nove reais e quarenta e seis centavos). Entretanto, foi constatado pela própria Assessoria, que a </w:t>
      </w:r>
      <w:r w:rsidRPr="003162BE">
        <w:rPr>
          <w:sz w:val="26"/>
          <w:szCs w:val="26"/>
          <w:u w:val="single"/>
        </w:rPr>
        <w:t>referida aplicação ocorreu de forma tempestiva, sendo realizada em 30/04/2019,</w:t>
      </w:r>
      <w:r w:rsidRPr="003162BE">
        <w:rPr>
          <w:sz w:val="26"/>
          <w:szCs w:val="26"/>
        </w:rPr>
        <w:t xml:space="preserve"> exercício imediatamente posterior ao trânsito em julgado ocorrido em 09/03/2018, restando, contudo, um pequeno montante de R$ 5.395,72 (cinco mil trezentos e noventa e cinco reais e setenta e dois centavos) ainda não regularizada referente </w:t>
      </w:r>
      <w:r w:rsidRPr="003162BE" w:rsidR="0009474B">
        <w:rPr>
          <w:sz w:val="26"/>
          <w:szCs w:val="26"/>
        </w:rPr>
        <w:t>ao</w:t>
      </w:r>
      <w:r w:rsidRPr="003162BE">
        <w:rPr>
          <w:sz w:val="26"/>
          <w:szCs w:val="26"/>
        </w:rPr>
        <w:t xml:space="preserve"> exercício de 2.014, sendo que houve recomendação do Egrégio Tribunal para a Prefeitura Municipal de Mogi Mirim fazer a aplicação do valor residual do FUNDEB no exercício posterior. Tal situação foi considerada crítica pelo Ministério Público de Contas, e, suficiente para junto com outros apontamentos, opinar pela Desaprovação das Contas Municipa</w:t>
      </w:r>
      <w:r w:rsidR="002D7A96">
        <w:rPr>
          <w:sz w:val="26"/>
          <w:szCs w:val="26"/>
        </w:rPr>
        <w:t>is</w:t>
      </w:r>
      <w:r w:rsidRPr="003162BE">
        <w:rPr>
          <w:sz w:val="26"/>
          <w:szCs w:val="26"/>
        </w:rPr>
        <w:t xml:space="preserve"> no exercício de 2</w:t>
      </w:r>
      <w:r w:rsidR="002D7A96">
        <w:rPr>
          <w:sz w:val="26"/>
          <w:szCs w:val="26"/>
        </w:rPr>
        <w:t>.</w:t>
      </w:r>
      <w:r w:rsidRPr="003162BE">
        <w:rPr>
          <w:sz w:val="26"/>
          <w:szCs w:val="26"/>
        </w:rPr>
        <w:t>018.</w:t>
      </w:r>
    </w:p>
    <w:p w:rsidR="00195CAB" w:rsidRPr="003162BE" w:rsidP="001244A1" w14:paraId="4B5CDDD2" w14:textId="77777777">
      <w:pPr>
        <w:spacing w:before="240" w:after="240"/>
        <w:contextualSpacing/>
        <w:jc w:val="both"/>
        <w:rPr>
          <w:sz w:val="26"/>
          <w:szCs w:val="26"/>
        </w:rPr>
      </w:pPr>
    </w:p>
    <w:p w:rsidR="003162BE" w:rsidRPr="0050201B" w:rsidP="001244A1" w14:paraId="1562B716" w14:textId="209453E0">
      <w:pPr>
        <w:spacing w:before="240" w:after="240"/>
        <w:contextualSpacing/>
        <w:jc w:val="both"/>
        <w:rPr>
          <w:sz w:val="26"/>
          <w:szCs w:val="26"/>
        </w:rPr>
      </w:pPr>
      <w:r w:rsidRPr="003162BE">
        <w:rPr>
          <w:sz w:val="26"/>
          <w:szCs w:val="26"/>
        </w:rPr>
        <w:t>Para regularizar o restante do valor devido, a Prefeitura encaminhou à Câmara Municipal Projeto de Lei para abrir crédito adicional especial, visando a regularização e aplicação de valor do FUNDEB n</w:t>
      </w:r>
      <w:r w:rsidR="000A4986">
        <w:rPr>
          <w:sz w:val="26"/>
          <w:szCs w:val="26"/>
        </w:rPr>
        <w:t>a quantia</w:t>
      </w:r>
      <w:r w:rsidRPr="003162BE">
        <w:rPr>
          <w:sz w:val="26"/>
          <w:szCs w:val="26"/>
        </w:rPr>
        <w:t xml:space="preserve"> de R$ 7.300,00 (sete mil e trezentos reais) somatório do valor devido e residual, originando a publicação da Lei Municipal nº 6.254 de 12 de novembro 2.020 (anexa). </w:t>
      </w:r>
    </w:p>
    <w:p w:rsidR="00195CAB" w:rsidRPr="003162BE" w:rsidP="001244A1" w14:paraId="2DC30324" w14:textId="77777777">
      <w:pPr>
        <w:spacing w:before="240" w:after="240"/>
        <w:contextualSpacing/>
        <w:jc w:val="both"/>
        <w:rPr>
          <w:sz w:val="26"/>
          <w:szCs w:val="26"/>
        </w:rPr>
      </w:pPr>
    </w:p>
    <w:p w:rsidR="003162BE" w:rsidRPr="0050201B" w:rsidP="001244A1" w14:paraId="071671B5" w14:textId="55921101">
      <w:pPr>
        <w:spacing w:before="240" w:after="240"/>
        <w:contextualSpacing/>
        <w:jc w:val="both"/>
        <w:rPr>
          <w:sz w:val="26"/>
          <w:szCs w:val="26"/>
        </w:rPr>
      </w:pPr>
      <w:r w:rsidRPr="003162BE">
        <w:rPr>
          <w:sz w:val="26"/>
          <w:szCs w:val="26"/>
        </w:rPr>
        <w:t>Outro ponto levantado, porém, pelo Ministério Público de Contas foi a demanda reprimida de vagas no Ensino Infantil - Creche, bem como a ausência do Auto de Vistoria do Corpo de Bombeiros - AVCB nas unidades de ensino e de atendimento</w:t>
      </w:r>
      <w:r w:rsidRPr="0050201B" w:rsidR="00195CAB">
        <w:rPr>
          <w:sz w:val="26"/>
          <w:szCs w:val="26"/>
        </w:rPr>
        <w:t xml:space="preserve"> </w:t>
      </w:r>
      <w:r w:rsidRPr="003162BE">
        <w:rPr>
          <w:sz w:val="26"/>
          <w:szCs w:val="26"/>
        </w:rPr>
        <w:t>de saúde.</w:t>
      </w:r>
    </w:p>
    <w:p w:rsidR="00195CAB" w:rsidRPr="003162BE" w:rsidP="001244A1" w14:paraId="4AE8A394" w14:textId="77777777">
      <w:pPr>
        <w:spacing w:before="240" w:after="240"/>
        <w:contextualSpacing/>
        <w:jc w:val="both"/>
        <w:rPr>
          <w:sz w:val="26"/>
          <w:szCs w:val="26"/>
        </w:rPr>
      </w:pPr>
    </w:p>
    <w:p w:rsidR="003162BE" w:rsidRPr="0050201B" w:rsidP="001244A1" w14:paraId="0314CE67" w14:textId="2CF549D0">
      <w:pPr>
        <w:spacing w:before="240" w:after="240"/>
        <w:contextualSpacing/>
        <w:jc w:val="both"/>
        <w:rPr>
          <w:sz w:val="26"/>
          <w:szCs w:val="26"/>
        </w:rPr>
      </w:pPr>
      <w:r w:rsidRPr="003162BE">
        <w:rPr>
          <w:sz w:val="26"/>
          <w:szCs w:val="26"/>
        </w:rPr>
        <w:t xml:space="preserve">No tocante às vagas do ensino infantil, a ex-secretária de Negócios Jurídicos da Prefeitura Municipal de Mogi Mirim, Dra. Adriana Tavares de Oliveira Penha argumentou em sustentação oral, que a própria unidade regional fiscalizadora do TCE/SP - UR -19, já evidenciou que a Prefeitura estava sanando o problema,  e que  o município realmente </w:t>
      </w:r>
      <w:r w:rsidRPr="003162BE">
        <w:rPr>
          <w:sz w:val="26"/>
          <w:szCs w:val="26"/>
        </w:rPr>
        <w:t>vivenciou um momento com obras em creches paralisadas e desistências de algumas vagas, onde os pais optaram por aguardar vagas em unidade</w:t>
      </w:r>
      <w:r w:rsidR="00B01408">
        <w:rPr>
          <w:sz w:val="26"/>
          <w:szCs w:val="26"/>
        </w:rPr>
        <w:t>s</w:t>
      </w:r>
      <w:r w:rsidRPr="003162BE">
        <w:rPr>
          <w:sz w:val="26"/>
          <w:szCs w:val="26"/>
        </w:rPr>
        <w:t xml:space="preserve"> mais próximas de suas residências. Afirmou ainda que o município, na época, sistematicamente vinha aumentando a disponibilidade de vagas nas creches, tanto que zerou a demanda judicial pelas vagas, sendo que não enfrentava mais mandados de segurança.</w:t>
      </w:r>
    </w:p>
    <w:p w:rsidR="00713158" w:rsidRPr="003162BE" w:rsidP="001244A1" w14:paraId="3455714E" w14:textId="77777777">
      <w:pPr>
        <w:spacing w:before="240" w:after="240"/>
        <w:contextualSpacing/>
        <w:jc w:val="both"/>
        <w:rPr>
          <w:sz w:val="26"/>
          <w:szCs w:val="26"/>
        </w:rPr>
      </w:pPr>
    </w:p>
    <w:p w:rsidR="003162BE" w:rsidRPr="0050201B" w:rsidP="001244A1" w14:paraId="503EE7E2" w14:textId="1BD2C242">
      <w:pPr>
        <w:spacing w:before="240" w:after="240"/>
        <w:contextualSpacing/>
        <w:jc w:val="both"/>
        <w:rPr>
          <w:sz w:val="26"/>
          <w:szCs w:val="26"/>
        </w:rPr>
      </w:pPr>
      <w:r w:rsidRPr="003162BE">
        <w:rPr>
          <w:sz w:val="26"/>
          <w:szCs w:val="26"/>
        </w:rPr>
        <w:t xml:space="preserve">Entretanto, levando em consideração todo cenário positivo observado, a citar: 1) município demonstra equilíbrio financeiro, caminhando na direção do Princípio de Gestão Equilibrada; 2) Registrou um Superávit Orçamentário de R$ 16.299.033,60 (dezesseis milhões, duzentos e noventa e nove mil, trinta e três reais e sessenta centavos) aumento de 4,83%; 3) existência de recursos para o total pagamento de suas dívidas de curto prazo; 4) Recursos econômicos elevaram o saldo Patrimonial; 5) Honrou os acordos de parcelamento; 6) Os depósitos de Precatórios atenderam ao percentual praticado em dezembro de 2.017; 7) Quitou os requisitórios de baixa montante; e, 8) Recolheu os encargos sociais e obedeceu os índices constitucionais; concomitantemente com defesa proferida por Sustentação Oral pela ex-secretária municipal de Negócios Jurídicos (Dra. Adriana Tavares de Oliveira Penha) foi considerado suficiente para que o Conselheiro Relator </w:t>
      </w:r>
      <w:r w:rsidRPr="003162BE" w:rsidR="009569D7">
        <w:rPr>
          <w:sz w:val="26"/>
          <w:szCs w:val="26"/>
        </w:rPr>
        <w:t>Antônio</w:t>
      </w:r>
      <w:r w:rsidRPr="003162BE">
        <w:rPr>
          <w:sz w:val="26"/>
          <w:szCs w:val="26"/>
        </w:rPr>
        <w:t xml:space="preserve"> Roque Citadini opinasse pela emissão do PARECER FAVORÁVEL à aprovação das contas da Prefeitura para o exercício de 2.018. </w:t>
      </w:r>
    </w:p>
    <w:p w:rsidR="00713158" w:rsidRPr="003162BE" w:rsidP="001244A1" w14:paraId="0E5BF4CC" w14:textId="77777777">
      <w:pPr>
        <w:spacing w:before="240" w:after="240"/>
        <w:contextualSpacing/>
        <w:jc w:val="both"/>
        <w:rPr>
          <w:sz w:val="26"/>
          <w:szCs w:val="26"/>
        </w:rPr>
      </w:pPr>
    </w:p>
    <w:p w:rsidR="003162BE" w:rsidRPr="0050201B" w:rsidP="001244A1" w14:paraId="1852B83A" w14:textId="78CADD85">
      <w:pPr>
        <w:spacing w:before="240" w:after="240"/>
        <w:contextualSpacing/>
        <w:jc w:val="both"/>
        <w:rPr>
          <w:sz w:val="26"/>
          <w:szCs w:val="26"/>
        </w:rPr>
      </w:pPr>
      <w:r w:rsidRPr="003162BE">
        <w:rPr>
          <w:sz w:val="26"/>
          <w:szCs w:val="26"/>
        </w:rPr>
        <w:t>O referido voto foi aprovado pelos demais Conselheiros do Tribunal, na 21ª Sessão Ordinária da Primeira Câmara do TCE-SP, aos 04 (quatro) dias do mês de agosto de 2.020, onde foi incluída a ressalva do cumprimento das recomendações propostas pelo Ministério Público de Contas.</w:t>
      </w:r>
    </w:p>
    <w:p w:rsidR="00713158" w:rsidRPr="003162BE" w:rsidP="001244A1" w14:paraId="19A125FD" w14:textId="77777777">
      <w:pPr>
        <w:spacing w:before="240" w:after="240"/>
        <w:contextualSpacing/>
        <w:jc w:val="both"/>
        <w:rPr>
          <w:sz w:val="26"/>
          <w:szCs w:val="26"/>
        </w:rPr>
      </w:pPr>
    </w:p>
    <w:p w:rsidR="003162BE" w:rsidRPr="003162BE" w:rsidP="001244A1" w14:paraId="38723B7F" w14:textId="77777777">
      <w:pPr>
        <w:spacing w:before="240" w:after="240"/>
        <w:ind w:left="1440"/>
        <w:contextualSpacing/>
        <w:jc w:val="both"/>
        <w:rPr>
          <w:sz w:val="24"/>
          <w:szCs w:val="24"/>
        </w:rPr>
      </w:pPr>
      <w:r w:rsidRPr="003162BE">
        <w:rPr>
          <w:i/>
          <w:iCs/>
          <w:sz w:val="24"/>
          <w:szCs w:val="24"/>
        </w:rPr>
        <w:t>"Ademais, impende que a Administração adote providências necessárias ao exato cumprimento da lei (art. 71, inc. IX, da Constituição Federal e art. 33, inc. X, da Constituição Estadual) e aprimore a gestão dos seguintes pontos:</w:t>
      </w:r>
    </w:p>
    <w:p w:rsidR="003162BE" w:rsidRPr="003162BE" w:rsidP="00956CA5" w14:paraId="11615A58" w14:textId="2DBB7201">
      <w:pPr>
        <w:numPr>
          <w:ilvl w:val="0"/>
          <w:numId w:val="22"/>
        </w:numPr>
        <w:spacing w:before="240"/>
        <w:ind w:left="2160"/>
        <w:contextualSpacing/>
        <w:jc w:val="both"/>
        <w:textAlignment w:val="baseline"/>
        <w:rPr>
          <w:i/>
          <w:iCs/>
          <w:sz w:val="24"/>
          <w:szCs w:val="24"/>
        </w:rPr>
      </w:pPr>
      <w:r w:rsidRPr="003162BE">
        <w:rPr>
          <w:i/>
          <w:iCs/>
          <w:sz w:val="24"/>
          <w:szCs w:val="24"/>
        </w:rPr>
        <w:t>Item A.1.1 - Dê efetividade às atividades exercidas pelo Controle Interno, com ênfase à regulamentação do setor e designação de servidor efetivo não dependente de gratificações para atuar no cargo de Controlador Interno;</w:t>
      </w:r>
    </w:p>
    <w:p w:rsidR="003162BE" w:rsidRPr="003162BE" w:rsidP="00956CA5" w14:paraId="5ED3A853" w14:textId="732E23EE">
      <w:pPr>
        <w:numPr>
          <w:ilvl w:val="0"/>
          <w:numId w:val="22"/>
        </w:numPr>
        <w:ind w:left="2160"/>
        <w:contextualSpacing/>
        <w:jc w:val="both"/>
        <w:textAlignment w:val="baseline"/>
        <w:rPr>
          <w:i/>
          <w:iCs/>
          <w:sz w:val="24"/>
          <w:szCs w:val="24"/>
        </w:rPr>
      </w:pPr>
      <w:r w:rsidRPr="003162BE">
        <w:rPr>
          <w:i/>
          <w:iCs/>
          <w:sz w:val="24"/>
          <w:szCs w:val="24"/>
        </w:rPr>
        <w:t>Itens B.2,</w:t>
      </w:r>
      <w:r w:rsidR="009569D7">
        <w:rPr>
          <w:i/>
          <w:iCs/>
          <w:sz w:val="24"/>
          <w:szCs w:val="24"/>
        </w:rPr>
        <w:t xml:space="preserve"> </w:t>
      </w:r>
      <w:r w:rsidRPr="003162BE">
        <w:rPr>
          <w:i/>
          <w:iCs/>
          <w:sz w:val="24"/>
          <w:szCs w:val="24"/>
        </w:rPr>
        <w:t>E.1,</w:t>
      </w:r>
      <w:r w:rsidR="0074530D">
        <w:rPr>
          <w:i/>
          <w:iCs/>
          <w:sz w:val="24"/>
          <w:szCs w:val="24"/>
        </w:rPr>
        <w:t xml:space="preserve"> </w:t>
      </w:r>
      <w:r w:rsidRPr="003162BE">
        <w:rPr>
          <w:i/>
          <w:iCs/>
          <w:sz w:val="24"/>
          <w:szCs w:val="24"/>
        </w:rPr>
        <w:t>F.1 e G.3 - corrija diversas impropriedades apontadas pelo IEGM sob as perspectivas fiscal, ambiental, gestão da proteção à cidade e governança, conferindo maior efetividade aos serviços prestados pela administração;</w:t>
      </w:r>
    </w:p>
    <w:p w:rsidR="003162BE" w:rsidRPr="003162BE" w:rsidP="00956CA5" w14:paraId="78ED677E" w14:textId="77777777">
      <w:pPr>
        <w:numPr>
          <w:ilvl w:val="0"/>
          <w:numId w:val="22"/>
        </w:numPr>
        <w:ind w:left="2160"/>
        <w:contextualSpacing/>
        <w:jc w:val="both"/>
        <w:textAlignment w:val="baseline"/>
        <w:rPr>
          <w:i/>
          <w:iCs/>
          <w:sz w:val="24"/>
          <w:szCs w:val="24"/>
        </w:rPr>
      </w:pPr>
      <w:r w:rsidRPr="003162BE">
        <w:rPr>
          <w:i/>
          <w:iCs/>
          <w:sz w:val="24"/>
          <w:szCs w:val="24"/>
        </w:rPr>
        <w:t>Item B.1.5 - contabilize corretamente as pendências judiciais;</w:t>
      </w:r>
    </w:p>
    <w:p w:rsidR="003162BE" w:rsidRPr="003162BE" w:rsidP="00956CA5" w14:paraId="46A849D4" w14:textId="77777777">
      <w:pPr>
        <w:numPr>
          <w:ilvl w:val="0"/>
          <w:numId w:val="22"/>
        </w:numPr>
        <w:ind w:left="2160"/>
        <w:contextualSpacing/>
        <w:jc w:val="both"/>
        <w:textAlignment w:val="baseline"/>
        <w:rPr>
          <w:i/>
          <w:iCs/>
          <w:sz w:val="24"/>
          <w:szCs w:val="24"/>
        </w:rPr>
      </w:pPr>
      <w:r w:rsidRPr="003162BE">
        <w:rPr>
          <w:i/>
          <w:iCs/>
          <w:sz w:val="24"/>
          <w:szCs w:val="24"/>
        </w:rPr>
        <w:t>Item B.1.9 - restrinja os cargos comissionados às funções constitucionalmente previstas, bem como adéque os requisitos de escolaridade conforme a responsabilidade assumida e conhecimentos envolvidos;</w:t>
      </w:r>
    </w:p>
    <w:p w:rsidR="003162BE" w:rsidRPr="003162BE" w:rsidP="00956CA5" w14:paraId="41252A00" w14:textId="333083EA">
      <w:pPr>
        <w:numPr>
          <w:ilvl w:val="0"/>
          <w:numId w:val="22"/>
        </w:numPr>
        <w:ind w:left="2160"/>
        <w:contextualSpacing/>
        <w:jc w:val="both"/>
        <w:textAlignment w:val="baseline"/>
        <w:rPr>
          <w:i/>
          <w:iCs/>
          <w:sz w:val="24"/>
          <w:szCs w:val="24"/>
        </w:rPr>
      </w:pPr>
      <w:r w:rsidRPr="003162BE">
        <w:rPr>
          <w:i/>
          <w:iCs/>
          <w:sz w:val="24"/>
          <w:szCs w:val="24"/>
        </w:rPr>
        <w:t xml:space="preserve">Item G.1.1 - cumpra integralmente a Lei de Acesso à Informação e a Lei de transparência </w:t>
      </w:r>
      <w:r w:rsidR="00953ED5">
        <w:rPr>
          <w:i/>
          <w:iCs/>
          <w:sz w:val="24"/>
          <w:szCs w:val="24"/>
        </w:rPr>
        <w:t>f</w:t>
      </w:r>
      <w:r w:rsidRPr="003162BE">
        <w:rPr>
          <w:i/>
          <w:iCs/>
          <w:sz w:val="24"/>
          <w:szCs w:val="24"/>
        </w:rPr>
        <w:t>iscal;</w:t>
      </w:r>
    </w:p>
    <w:p w:rsidR="003162BE" w:rsidRPr="003162BE" w:rsidP="00956CA5" w14:paraId="49C90FA0" w14:textId="77777777">
      <w:pPr>
        <w:numPr>
          <w:ilvl w:val="0"/>
          <w:numId w:val="22"/>
        </w:numPr>
        <w:spacing w:after="240"/>
        <w:ind w:left="2160"/>
        <w:contextualSpacing/>
        <w:jc w:val="both"/>
        <w:textAlignment w:val="baseline"/>
        <w:rPr>
          <w:i/>
          <w:iCs/>
          <w:sz w:val="24"/>
          <w:szCs w:val="24"/>
        </w:rPr>
      </w:pPr>
      <w:r w:rsidRPr="003162BE">
        <w:rPr>
          <w:i/>
          <w:iCs/>
          <w:sz w:val="24"/>
          <w:szCs w:val="24"/>
        </w:rPr>
        <w:t>Item H.2 - atenda às recomendações exaradas pela Corte de contas.” </w:t>
      </w:r>
    </w:p>
    <w:p w:rsidR="003162BE" w:rsidRPr="0050201B" w:rsidP="001244A1" w14:paraId="41694DDC" w14:textId="0B116C28">
      <w:pPr>
        <w:contextualSpacing/>
        <w:jc w:val="both"/>
        <w:rPr>
          <w:sz w:val="24"/>
          <w:szCs w:val="24"/>
        </w:rPr>
      </w:pPr>
    </w:p>
    <w:p w:rsidR="00713158" w:rsidRPr="0050201B" w:rsidP="001244A1" w14:paraId="366EE6B4" w14:textId="57955102">
      <w:pPr>
        <w:contextualSpacing/>
        <w:jc w:val="both"/>
        <w:rPr>
          <w:sz w:val="24"/>
          <w:szCs w:val="24"/>
        </w:rPr>
      </w:pPr>
    </w:p>
    <w:p w:rsidR="00713158" w:rsidRPr="003162BE" w:rsidP="001244A1" w14:paraId="54C89ACC" w14:textId="77777777">
      <w:pPr>
        <w:contextualSpacing/>
        <w:jc w:val="both"/>
        <w:rPr>
          <w:sz w:val="24"/>
          <w:szCs w:val="24"/>
        </w:rPr>
      </w:pPr>
    </w:p>
    <w:p w:rsidR="003162BE" w:rsidRPr="0050201B" w:rsidP="001244A1" w14:paraId="7FDCB780" w14:textId="2D371706">
      <w:pPr>
        <w:spacing w:before="240" w:after="240"/>
        <w:contextualSpacing/>
        <w:jc w:val="both"/>
        <w:rPr>
          <w:b/>
          <w:bCs/>
          <w:sz w:val="26"/>
          <w:szCs w:val="26"/>
        </w:rPr>
      </w:pPr>
      <w:r w:rsidRPr="003162BE">
        <w:rPr>
          <w:b/>
          <w:bCs/>
          <w:sz w:val="26"/>
          <w:szCs w:val="26"/>
          <w:u w:val="single"/>
        </w:rPr>
        <w:t>Da Conclusão</w:t>
      </w:r>
      <w:r w:rsidRPr="003162BE">
        <w:rPr>
          <w:b/>
          <w:bCs/>
          <w:sz w:val="26"/>
          <w:szCs w:val="26"/>
        </w:rPr>
        <w:t> </w:t>
      </w:r>
    </w:p>
    <w:p w:rsidR="00713158" w:rsidRPr="003162BE" w:rsidP="001244A1" w14:paraId="357AFE8C" w14:textId="77777777">
      <w:pPr>
        <w:spacing w:before="240" w:after="240"/>
        <w:contextualSpacing/>
        <w:jc w:val="both"/>
        <w:rPr>
          <w:b/>
          <w:bCs/>
          <w:sz w:val="26"/>
          <w:szCs w:val="26"/>
        </w:rPr>
      </w:pPr>
    </w:p>
    <w:p w:rsidR="003162BE" w:rsidRPr="0050201B" w:rsidP="001244A1" w14:paraId="5178ADBF" w14:textId="2648C249">
      <w:pPr>
        <w:spacing w:before="240" w:after="240"/>
        <w:contextualSpacing/>
        <w:jc w:val="both"/>
        <w:rPr>
          <w:sz w:val="26"/>
          <w:szCs w:val="26"/>
          <w:shd w:val="clear" w:color="auto" w:fill="FFFFFF"/>
        </w:rPr>
      </w:pPr>
      <w:r w:rsidRPr="003162BE">
        <w:rPr>
          <w:sz w:val="26"/>
          <w:szCs w:val="26"/>
          <w:shd w:val="clear" w:color="auto" w:fill="FFFFFF"/>
        </w:rPr>
        <w:t xml:space="preserve">O Tribunal de Contas do Estado de São Paulo encaminhou a esta Casa Legislativa o </w:t>
      </w:r>
      <w:r w:rsidRPr="003162BE">
        <w:rPr>
          <w:b/>
          <w:bCs/>
          <w:sz w:val="26"/>
          <w:szCs w:val="26"/>
          <w:shd w:val="clear" w:color="auto" w:fill="FFFFFF"/>
        </w:rPr>
        <w:t>Processo TC-004545.989.18-8</w:t>
      </w:r>
      <w:r w:rsidRPr="003162BE">
        <w:rPr>
          <w:sz w:val="26"/>
          <w:szCs w:val="26"/>
          <w:shd w:val="clear" w:color="auto" w:fill="FFFFFF"/>
        </w:rPr>
        <w:t xml:space="preserve">, referente à </w:t>
      </w:r>
      <w:r w:rsidRPr="003162BE">
        <w:rPr>
          <w:b/>
          <w:bCs/>
          <w:sz w:val="26"/>
          <w:szCs w:val="26"/>
          <w:shd w:val="clear" w:color="auto" w:fill="FFFFFF"/>
        </w:rPr>
        <w:t>Prestação de Contas da Prefeitura</w:t>
      </w:r>
      <w:r w:rsidRPr="003162BE">
        <w:rPr>
          <w:sz w:val="26"/>
          <w:szCs w:val="26"/>
          <w:shd w:val="clear" w:color="auto" w:fill="FFFFFF"/>
        </w:rPr>
        <w:t xml:space="preserve"> </w:t>
      </w:r>
      <w:r w:rsidRPr="003162BE">
        <w:rPr>
          <w:b/>
          <w:bCs/>
          <w:sz w:val="26"/>
          <w:szCs w:val="26"/>
          <w:shd w:val="clear" w:color="auto" w:fill="FFFFFF"/>
        </w:rPr>
        <w:t xml:space="preserve">Municipal de Mogi Mirim, </w:t>
      </w:r>
      <w:r w:rsidR="00865D37">
        <w:rPr>
          <w:b/>
          <w:bCs/>
          <w:sz w:val="26"/>
          <w:szCs w:val="26"/>
          <w:shd w:val="clear" w:color="auto" w:fill="FFFFFF"/>
        </w:rPr>
        <w:t>d</w:t>
      </w:r>
      <w:r w:rsidRPr="003162BE">
        <w:rPr>
          <w:b/>
          <w:bCs/>
          <w:sz w:val="26"/>
          <w:szCs w:val="26"/>
          <w:shd w:val="clear" w:color="auto" w:fill="FFFFFF"/>
        </w:rPr>
        <w:t>o exercício de 2.018</w:t>
      </w:r>
      <w:r w:rsidRPr="003162BE">
        <w:rPr>
          <w:sz w:val="26"/>
          <w:szCs w:val="26"/>
          <w:shd w:val="clear" w:color="auto" w:fill="FFFFFF"/>
        </w:rPr>
        <w:t>.</w:t>
      </w:r>
    </w:p>
    <w:p w:rsidR="00713158" w:rsidRPr="003162BE" w:rsidP="001244A1" w14:paraId="47A54659" w14:textId="77777777">
      <w:pPr>
        <w:spacing w:before="240" w:after="240"/>
        <w:contextualSpacing/>
        <w:jc w:val="both"/>
        <w:rPr>
          <w:sz w:val="26"/>
          <w:szCs w:val="26"/>
        </w:rPr>
      </w:pPr>
    </w:p>
    <w:p w:rsidR="003162BE" w:rsidRPr="0050201B" w:rsidP="001244A1" w14:paraId="1DAE6928" w14:textId="0753DD73">
      <w:pPr>
        <w:spacing w:before="240" w:after="240"/>
        <w:contextualSpacing/>
        <w:jc w:val="both"/>
        <w:rPr>
          <w:sz w:val="26"/>
          <w:szCs w:val="26"/>
          <w:shd w:val="clear" w:color="auto" w:fill="FFFFFF"/>
        </w:rPr>
      </w:pPr>
      <w:r w:rsidRPr="003162BE">
        <w:rPr>
          <w:sz w:val="26"/>
          <w:szCs w:val="26"/>
          <w:shd w:val="clear" w:color="auto" w:fill="FFFFFF"/>
        </w:rPr>
        <w:t>De acordo com o disposto no artigo nº 59, seus respectivos parágrafos da LOMM - Lei Orgânica do Município de Mogi Mirim, e aos Artigos nº 29, 33, 37 e 54 do Regimento Interno vigente, cabe à Comissão de Finanças e Orçamento emitir parecer sobre a Prestação de contas do Executivo Municipal, neste caso, especificamente no exercício 2.018.  Desta forma a prestação de contas esteve em poder da comissão pelo prazo regimental de 15 (quinze) dias, sendo a contagem iniciada no dia 05 de abril de 2.021 findando-se no dia 20 de abril de 2.021, quando esta comissão supracitada deve exarar seu parecer sobre a matéria.</w:t>
      </w:r>
    </w:p>
    <w:p w:rsidR="001D5454" w:rsidRPr="003162BE" w:rsidP="001244A1" w14:paraId="3763448B" w14:textId="77777777">
      <w:pPr>
        <w:spacing w:before="240" w:after="240"/>
        <w:contextualSpacing/>
        <w:jc w:val="both"/>
        <w:rPr>
          <w:sz w:val="26"/>
          <w:szCs w:val="26"/>
        </w:rPr>
      </w:pPr>
    </w:p>
    <w:p w:rsidR="003162BE" w:rsidRPr="0050201B" w:rsidP="001244A1" w14:paraId="4704E52B" w14:textId="201A3712">
      <w:pPr>
        <w:spacing w:before="240" w:after="240"/>
        <w:contextualSpacing/>
        <w:jc w:val="both"/>
        <w:rPr>
          <w:sz w:val="26"/>
          <w:szCs w:val="26"/>
          <w:shd w:val="clear" w:color="auto" w:fill="FFFFFF"/>
        </w:rPr>
      </w:pPr>
      <w:r w:rsidRPr="003162BE">
        <w:rPr>
          <w:sz w:val="26"/>
          <w:szCs w:val="26"/>
          <w:shd w:val="clear" w:color="auto" w:fill="FFFFFF"/>
        </w:rPr>
        <w:t>Em análise ao parecer, a comissão constatou que os técnicos do Tribunal de Contas apontaram inconsistências de informações que a Municipalidade, representada pelo ex-Prefeito Arquiteto Carlos Nelson Bueno apresentou suas razões de defesa, que foram inseridas nos autos do processo formalizado pelo Tribunal. A Assessoria Técnica-Jurídica do Tribunal acolheu as justificativas apresentadas, devendo a Municipalidade comprovar a aplicação do valor residual do FUNDEB no valor de R$ 5.395,72 (cinco mil trezentos e noventa e cinco reais e setenta e dois centavos) e entendeu que as contas merecem aprovação no exercício de 2.018. O ex-Prefeito Arquiteto Carlos Nelson Bueno encaminhou Projeto de Lei à Câmara Municipal de Mogi Mirim e através da Lei nº 6.254 de 12 de novembro de 2.020 sancionou Lei que aplicava o recurso do FUNDEB que não foi utilizado na gestão do ex-Prefeito Luís Gustavo Antunes Stupp no exercício de 2.014 atendendo ao apontamento do Tribunal de Contas.   Com relação ao aspecto econômico-financeiro, a Assessoria Técnica do Tribunal de Contas opinou pela emissão de PARECER FAVORÁVEL às contas do exercício 2</w:t>
      </w:r>
      <w:r w:rsidR="004272F8">
        <w:rPr>
          <w:sz w:val="26"/>
          <w:szCs w:val="26"/>
          <w:shd w:val="clear" w:color="auto" w:fill="FFFFFF"/>
        </w:rPr>
        <w:t>.</w:t>
      </w:r>
      <w:r w:rsidRPr="003162BE">
        <w:rPr>
          <w:sz w:val="26"/>
          <w:szCs w:val="26"/>
          <w:shd w:val="clear" w:color="auto" w:fill="FFFFFF"/>
        </w:rPr>
        <w:t>018. A Chefia da Assessoria Técnica endossou as manifestações precedentes, com as recomendações apresentadas pelo Tribunal de Contas.  Já o Ministério Público de Contas opinou pela emissão de parecer DESFAVORÁVEL às contas do exercício 2</w:t>
      </w:r>
      <w:r w:rsidR="004272F8">
        <w:rPr>
          <w:sz w:val="26"/>
          <w:szCs w:val="26"/>
          <w:shd w:val="clear" w:color="auto" w:fill="FFFFFF"/>
        </w:rPr>
        <w:t>.</w:t>
      </w:r>
      <w:r w:rsidRPr="003162BE">
        <w:rPr>
          <w:sz w:val="26"/>
          <w:szCs w:val="26"/>
          <w:shd w:val="clear" w:color="auto" w:fill="FFFFFF"/>
        </w:rPr>
        <w:t>018 sob alegação de: “</w:t>
      </w:r>
      <w:r w:rsidRPr="003162BE">
        <w:rPr>
          <w:i/>
          <w:iCs/>
          <w:sz w:val="26"/>
          <w:szCs w:val="26"/>
          <w:shd w:val="clear" w:color="auto" w:fill="FFFFFF"/>
        </w:rPr>
        <w:t>em razão do ineficiente Planejamento Municipal, ausência de aplicação de valores FUNDEB (2</w:t>
      </w:r>
      <w:r w:rsidR="003624D9">
        <w:rPr>
          <w:i/>
          <w:iCs/>
          <w:sz w:val="26"/>
          <w:szCs w:val="26"/>
          <w:shd w:val="clear" w:color="auto" w:fill="FFFFFF"/>
        </w:rPr>
        <w:t>.</w:t>
      </w:r>
      <w:r w:rsidRPr="003162BE">
        <w:rPr>
          <w:i/>
          <w:iCs/>
          <w:sz w:val="26"/>
          <w:szCs w:val="26"/>
          <w:shd w:val="clear" w:color="auto" w:fill="FFFFFF"/>
        </w:rPr>
        <w:t>014 e 2</w:t>
      </w:r>
      <w:r w:rsidR="003624D9">
        <w:rPr>
          <w:i/>
          <w:iCs/>
          <w:sz w:val="26"/>
          <w:szCs w:val="26"/>
          <w:shd w:val="clear" w:color="auto" w:fill="FFFFFF"/>
        </w:rPr>
        <w:t>.</w:t>
      </w:r>
      <w:r w:rsidRPr="003162BE">
        <w:rPr>
          <w:i/>
          <w:iCs/>
          <w:sz w:val="26"/>
          <w:szCs w:val="26"/>
          <w:shd w:val="clear" w:color="auto" w:fill="FFFFFF"/>
        </w:rPr>
        <w:t>015), demanda reprimida no Ensino Infantil - Creche, falhas na Educação e ineficiente gestão da Saúde Municipal”</w:t>
      </w:r>
      <w:r w:rsidRPr="003162BE">
        <w:rPr>
          <w:sz w:val="26"/>
          <w:szCs w:val="26"/>
          <w:shd w:val="clear" w:color="auto" w:fill="FFFFFF"/>
        </w:rPr>
        <w:t xml:space="preserve">, e propôs as recomendações elencadas e anexadas </w:t>
      </w:r>
      <w:r w:rsidR="003624D9">
        <w:rPr>
          <w:sz w:val="26"/>
          <w:szCs w:val="26"/>
          <w:shd w:val="clear" w:color="auto" w:fill="FFFFFF"/>
        </w:rPr>
        <w:t>a</w:t>
      </w:r>
      <w:r w:rsidRPr="003162BE">
        <w:rPr>
          <w:sz w:val="26"/>
          <w:szCs w:val="26"/>
          <w:shd w:val="clear" w:color="auto" w:fill="FFFFFF"/>
        </w:rPr>
        <w:t>o processo.</w:t>
      </w:r>
    </w:p>
    <w:p w:rsidR="001D5454" w:rsidRPr="003162BE" w:rsidP="001244A1" w14:paraId="75DE8AFA" w14:textId="77777777">
      <w:pPr>
        <w:spacing w:before="240" w:after="240"/>
        <w:contextualSpacing/>
        <w:jc w:val="both"/>
        <w:rPr>
          <w:sz w:val="26"/>
          <w:szCs w:val="26"/>
        </w:rPr>
      </w:pPr>
    </w:p>
    <w:p w:rsidR="003162BE" w:rsidRPr="0050201B" w:rsidP="001244A1" w14:paraId="21D880F5" w14:textId="28BF7326">
      <w:pPr>
        <w:spacing w:before="240" w:after="240"/>
        <w:contextualSpacing/>
        <w:jc w:val="both"/>
        <w:rPr>
          <w:sz w:val="26"/>
          <w:szCs w:val="26"/>
          <w:shd w:val="clear" w:color="auto" w:fill="FFFFFF"/>
        </w:rPr>
      </w:pPr>
      <w:r w:rsidRPr="003162BE">
        <w:rPr>
          <w:sz w:val="26"/>
          <w:szCs w:val="26"/>
          <w:shd w:val="clear" w:color="auto" w:fill="FFFFFF"/>
        </w:rPr>
        <w:t>A Comissão de Finanças e Orçamento tomou o cuidado de estudar os documentos do período em questão com a finalidade de instruir os autos do Processo nº 18/2021, assunto: Prestação de Contas da Prefeitura Municipal de Mogi Mirim</w:t>
      </w:r>
      <w:r w:rsidR="003624D9">
        <w:rPr>
          <w:sz w:val="26"/>
          <w:szCs w:val="26"/>
          <w:shd w:val="clear" w:color="auto" w:fill="FFFFFF"/>
        </w:rPr>
        <w:t>,</w:t>
      </w:r>
      <w:r w:rsidRPr="003162BE">
        <w:rPr>
          <w:sz w:val="26"/>
          <w:szCs w:val="26"/>
          <w:shd w:val="clear" w:color="auto" w:fill="FFFFFF"/>
        </w:rPr>
        <w:t xml:space="preserve"> referente ao exercício de 2.018. </w:t>
      </w:r>
    </w:p>
    <w:p w:rsidR="001D5454" w:rsidRPr="003162BE" w:rsidP="001244A1" w14:paraId="43A43B3A" w14:textId="77777777">
      <w:pPr>
        <w:spacing w:before="240" w:after="240"/>
        <w:contextualSpacing/>
        <w:jc w:val="both"/>
        <w:rPr>
          <w:sz w:val="26"/>
          <w:szCs w:val="26"/>
        </w:rPr>
      </w:pPr>
    </w:p>
    <w:p w:rsidR="003162BE" w:rsidRPr="0050201B" w:rsidP="001244A1" w14:paraId="09D804C8" w14:textId="61F29CA0">
      <w:pPr>
        <w:spacing w:before="240" w:after="240"/>
        <w:contextualSpacing/>
        <w:jc w:val="both"/>
        <w:rPr>
          <w:sz w:val="26"/>
          <w:szCs w:val="26"/>
        </w:rPr>
      </w:pPr>
      <w:r w:rsidRPr="003162BE">
        <w:rPr>
          <w:sz w:val="26"/>
          <w:szCs w:val="26"/>
        </w:rPr>
        <w:t xml:space="preserve">A Comissão destaca que os trabalhos e reuniões da comissão com a presença dos integrantes foram realizadas com a devida autorização da Presidente desta Casa de Leis, Vereadora Sônia Regina Rodrigues, conforme ofício nº 048/2021, anexo aos autos do processo nº 018/2021. Também foi anexado ao presente processo o ofício nº 049/2021 encaminhado à Presidente com cópia ao Procurador Jurídico questionando os Atos da Mesa Diretora desta Casa de Leis no tocante </w:t>
      </w:r>
      <w:r w:rsidRPr="0050201B" w:rsidR="007511D5">
        <w:rPr>
          <w:sz w:val="26"/>
          <w:szCs w:val="26"/>
        </w:rPr>
        <w:t>à vedação</w:t>
      </w:r>
      <w:r w:rsidRPr="003162BE">
        <w:rPr>
          <w:sz w:val="26"/>
          <w:szCs w:val="26"/>
        </w:rPr>
        <w:t xml:space="preserve"> de trânsito nas dependências da Câmara Municipal, fato este que</w:t>
      </w:r>
      <w:r w:rsidR="00F464BB">
        <w:rPr>
          <w:sz w:val="26"/>
          <w:szCs w:val="26"/>
        </w:rPr>
        <w:t xml:space="preserve"> prejudicou</w:t>
      </w:r>
      <w:r w:rsidRPr="003162BE">
        <w:rPr>
          <w:sz w:val="26"/>
          <w:szCs w:val="26"/>
        </w:rPr>
        <w:t xml:space="preserve"> os trabalhos e oitivas que, antecedem o presente parecer da Comissão de Finanças e Orçamento.</w:t>
      </w:r>
    </w:p>
    <w:p w:rsidR="007511D5" w:rsidRPr="003162BE" w:rsidP="001244A1" w14:paraId="03F117C8" w14:textId="77777777">
      <w:pPr>
        <w:spacing w:before="240" w:after="240"/>
        <w:contextualSpacing/>
        <w:jc w:val="both"/>
        <w:rPr>
          <w:sz w:val="26"/>
          <w:szCs w:val="26"/>
        </w:rPr>
      </w:pPr>
    </w:p>
    <w:p w:rsidR="003162BE" w:rsidRPr="0050201B" w:rsidP="001244A1" w14:paraId="3F3C34F6" w14:textId="706A8DDE">
      <w:pPr>
        <w:spacing w:before="240" w:after="240"/>
        <w:contextualSpacing/>
        <w:jc w:val="both"/>
        <w:rPr>
          <w:sz w:val="26"/>
          <w:szCs w:val="26"/>
          <w:shd w:val="clear" w:color="auto" w:fill="FFFFFF"/>
        </w:rPr>
      </w:pPr>
      <w:r w:rsidRPr="003162BE">
        <w:rPr>
          <w:sz w:val="26"/>
          <w:szCs w:val="26"/>
          <w:shd w:val="clear" w:color="auto" w:fill="FFFFFF"/>
        </w:rPr>
        <w:t xml:space="preserve">Estando o processo administrativo na posse </w:t>
      </w:r>
      <w:r w:rsidRPr="0050201B" w:rsidR="007511D5">
        <w:rPr>
          <w:sz w:val="26"/>
          <w:szCs w:val="26"/>
          <w:shd w:val="clear" w:color="auto" w:fill="FFFFFF"/>
        </w:rPr>
        <w:t>desta, analisando</w:t>
      </w:r>
      <w:r w:rsidRPr="003162BE">
        <w:rPr>
          <w:sz w:val="26"/>
          <w:szCs w:val="26"/>
          <w:shd w:val="clear" w:color="auto" w:fill="FFFFFF"/>
        </w:rPr>
        <w:t xml:space="preserve"> e deliberando, ficou decidido</w:t>
      </w:r>
      <w:r w:rsidR="001C5E9B">
        <w:rPr>
          <w:sz w:val="26"/>
          <w:szCs w:val="26"/>
          <w:shd w:val="clear" w:color="auto" w:fill="FFFFFF"/>
        </w:rPr>
        <w:t xml:space="preserve"> </w:t>
      </w:r>
      <w:r w:rsidRPr="003162BE">
        <w:rPr>
          <w:sz w:val="26"/>
          <w:szCs w:val="26"/>
          <w:shd w:val="clear" w:color="auto" w:fill="FFFFFF"/>
        </w:rPr>
        <w:t>que</w:t>
      </w:r>
      <w:r w:rsidR="001C5E9B">
        <w:rPr>
          <w:sz w:val="26"/>
          <w:szCs w:val="26"/>
          <w:shd w:val="clear" w:color="auto" w:fill="FFFFFF"/>
        </w:rPr>
        <w:t>,</w:t>
      </w:r>
      <w:r w:rsidRPr="003162BE">
        <w:rPr>
          <w:sz w:val="26"/>
          <w:szCs w:val="26"/>
          <w:shd w:val="clear" w:color="auto" w:fill="FFFFFF"/>
        </w:rPr>
        <w:t xml:space="preserve"> a Comissão de Finanças e Orçamento iria notificar o Senhor </w:t>
      </w:r>
      <w:r w:rsidRPr="003162BE">
        <w:rPr>
          <w:sz w:val="26"/>
          <w:szCs w:val="26"/>
          <w:shd w:val="clear" w:color="auto" w:fill="FFFFFF"/>
        </w:rPr>
        <w:t>Ex</w:t>
      </w:r>
      <w:r w:rsidRPr="003162BE">
        <w:rPr>
          <w:sz w:val="26"/>
          <w:szCs w:val="26"/>
          <w:shd w:val="clear" w:color="auto" w:fill="FFFFFF"/>
        </w:rPr>
        <w:t>- Prefeito Municipal, Arquiteto Carlos Nelson Bueno para que, em tempo hábil, se manifestasse; e assim o fizemos, sendo que no dia 15 de abril de 2</w:t>
      </w:r>
      <w:r w:rsidR="009A4474">
        <w:rPr>
          <w:sz w:val="26"/>
          <w:szCs w:val="26"/>
          <w:shd w:val="clear" w:color="auto" w:fill="FFFFFF"/>
        </w:rPr>
        <w:t>.</w:t>
      </w:r>
      <w:r w:rsidRPr="003162BE">
        <w:rPr>
          <w:sz w:val="26"/>
          <w:szCs w:val="26"/>
          <w:shd w:val="clear" w:color="auto" w:fill="FFFFFF"/>
        </w:rPr>
        <w:t xml:space="preserve">021, através do ofício nº 051/2021, notificamos o </w:t>
      </w:r>
      <w:r w:rsidR="009A4474">
        <w:rPr>
          <w:sz w:val="26"/>
          <w:szCs w:val="26"/>
          <w:shd w:val="clear" w:color="auto" w:fill="FFFFFF"/>
        </w:rPr>
        <w:t>E</w:t>
      </w:r>
      <w:r w:rsidRPr="003162BE">
        <w:rPr>
          <w:sz w:val="26"/>
          <w:szCs w:val="26"/>
          <w:shd w:val="clear" w:color="auto" w:fill="FFFFFF"/>
        </w:rPr>
        <w:t>x</w:t>
      </w:r>
      <w:r w:rsidR="009A4474">
        <w:rPr>
          <w:sz w:val="26"/>
          <w:szCs w:val="26"/>
          <w:shd w:val="clear" w:color="auto" w:fill="FFFFFF"/>
        </w:rPr>
        <w:t>-P</w:t>
      </w:r>
      <w:r w:rsidRPr="003162BE">
        <w:rPr>
          <w:sz w:val="26"/>
          <w:szCs w:val="26"/>
          <w:shd w:val="clear" w:color="auto" w:fill="FFFFFF"/>
        </w:rPr>
        <w:t>refeito, sendo que o referido ofício foi entregue aos cuidados do senhor Edson Pessiquelli (cópia anexa).  Na sequência, publicamos a notificação no Diário Oficial do Município, na edição on-line do dia 21 de abril de 2.021 dando direito</w:t>
      </w:r>
      <w:r w:rsidR="009A4474">
        <w:rPr>
          <w:sz w:val="26"/>
          <w:szCs w:val="26"/>
          <w:shd w:val="clear" w:color="auto" w:fill="FFFFFF"/>
        </w:rPr>
        <w:t xml:space="preserve"> a</w:t>
      </w:r>
      <w:r w:rsidRPr="003162BE">
        <w:rPr>
          <w:sz w:val="26"/>
          <w:szCs w:val="26"/>
          <w:shd w:val="clear" w:color="auto" w:fill="FFFFFF"/>
        </w:rPr>
        <w:t xml:space="preserve"> qualquer tipo de manifestação por parte do interessado, garantindo o direito constitucional de ampla defesa, conforme Artigo 5º da Constituição Federal de 1988.</w:t>
      </w:r>
    </w:p>
    <w:p w:rsidR="007511D5" w:rsidRPr="003162BE" w:rsidP="001244A1" w14:paraId="7873C1D7" w14:textId="77777777">
      <w:pPr>
        <w:spacing w:before="240" w:after="240"/>
        <w:contextualSpacing/>
        <w:jc w:val="both"/>
        <w:rPr>
          <w:sz w:val="26"/>
          <w:szCs w:val="26"/>
        </w:rPr>
      </w:pPr>
    </w:p>
    <w:p w:rsidR="007511D5" w:rsidRPr="0050201B" w:rsidP="001244A1" w14:paraId="376C5280" w14:textId="77777777">
      <w:pPr>
        <w:spacing w:before="240" w:after="240"/>
        <w:contextualSpacing/>
        <w:jc w:val="both"/>
        <w:rPr>
          <w:sz w:val="26"/>
          <w:szCs w:val="26"/>
          <w:shd w:val="clear" w:color="auto" w:fill="FFFFFF"/>
        </w:rPr>
      </w:pPr>
      <w:r w:rsidRPr="003162BE">
        <w:rPr>
          <w:sz w:val="26"/>
          <w:szCs w:val="26"/>
          <w:shd w:val="clear" w:color="auto" w:fill="FFFFFF"/>
        </w:rPr>
        <w:t xml:space="preserve">A Comissão de Finanças e Orçamento analisou também os documentos referentes ao exercício de 2.018, disponibilizados eletronicamente pelo Tribunal de Contas. </w:t>
      </w:r>
    </w:p>
    <w:p w:rsidR="007511D5" w:rsidRPr="0050201B" w:rsidP="001244A1" w14:paraId="5FBA19D7" w14:textId="77777777">
      <w:pPr>
        <w:spacing w:before="240" w:after="240"/>
        <w:contextualSpacing/>
        <w:jc w:val="both"/>
        <w:rPr>
          <w:sz w:val="26"/>
          <w:szCs w:val="26"/>
          <w:shd w:val="clear" w:color="auto" w:fill="FFFFFF"/>
        </w:rPr>
      </w:pPr>
    </w:p>
    <w:p w:rsidR="003162BE" w:rsidRPr="0050201B" w:rsidP="001244A1" w14:paraId="03C8A613" w14:textId="317FFACE">
      <w:pPr>
        <w:spacing w:before="240" w:after="240"/>
        <w:contextualSpacing/>
        <w:jc w:val="both"/>
        <w:rPr>
          <w:sz w:val="26"/>
          <w:szCs w:val="26"/>
          <w:u w:val="single"/>
        </w:rPr>
      </w:pPr>
      <w:r w:rsidRPr="003162BE">
        <w:rPr>
          <w:sz w:val="26"/>
          <w:szCs w:val="26"/>
          <w:shd w:val="clear" w:color="auto" w:fill="FFFFFF"/>
        </w:rPr>
        <w:t xml:space="preserve">Diante do exposto, esta Comissão se manifesta de modo a CONCORDAR com a decisão do </w:t>
      </w:r>
      <w:r w:rsidRPr="003162BE">
        <w:rPr>
          <w:sz w:val="26"/>
          <w:szCs w:val="26"/>
        </w:rPr>
        <w:t xml:space="preserve">TCE-SP, </w:t>
      </w:r>
      <w:r w:rsidRPr="003162BE">
        <w:rPr>
          <w:sz w:val="26"/>
          <w:szCs w:val="26"/>
          <w:u w:val="single"/>
        </w:rPr>
        <w:t xml:space="preserve">opinando, </w:t>
      </w:r>
      <w:r w:rsidRPr="0050201B" w:rsidR="00703B86">
        <w:rPr>
          <w:sz w:val="26"/>
          <w:szCs w:val="26"/>
          <w:u w:val="single"/>
        </w:rPr>
        <w:t>pela APROVAÇÃO</w:t>
      </w:r>
      <w:r w:rsidR="006A3ED0">
        <w:rPr>
          <w:sz w:val="26"/>
          <w:szCs w:val="26"/>
          <w:u w:val="single"/>
        </w:rPr>
        <w:t xml:space="preserve"> </w:t>
      </w:r>
      <w:r w:rsidRPr="003162BE">
        <w:rPr>
          <w:sz w:val="26"/>
          <w:szCs w:val="26"/>
          <w:u w:val="single"/>
        </w:rPr>
        <w:t>das Contas da Prefeitura Municipal de Mogi Mirim</w:t>
      </w:r>
      <w:r w:rsidRPr="0050201B" w:rsidR="000C3C28">
        <w:rPr>
          <w:sz w:val="26"/>
          <w:szCs w:val="26"/>
          <w:u w:val="single"/>
        </w:rPr>
        <w:t xml:space="preserve">, </w:t>
      </w:r>
      <w:r w:rsidRPr="003162BE">
        <w:rPr>
          <w:sz w:val="26"/>
          <w:szCs w:val="26"/>
          <w:u w:val="single"/>
        </w:rPr>
        <w:t>para o exercício fiscal de 2.018. </w:t>
      </w:r>
    </w:p>
    <w:p w:rsidR="005C22C6" w:rsidRPr="0050201B" w:rsidP="00703B86" w14:paraId="6C011E80" w14:textId="005BB85C">
      <w:pPr>
        <w:spacing w:before="240" w:after="240"/>
        <w:contextualSpacing/>
        <w:jc w:val="center"/>
        <w:rPr>
          <w:sz w:val="26"/>
          <w:szCs w:val="26"/>
        </w:rPr>
      </w:pPr>
    </w:p>
    <w:p w:rsidR="00703B86" w:rsidRPr="003162BE" w:rsidP="00703B86" w14:paraId="59BC3FB2" w14:textId="77777777">
      <w:pPr>
        <w:spacing w:before="240" w:after="240"/>
        <w:contextualSpacing/>
        <w:jc w:val="center"/>
        <w:rPr>
          <w:sz w:val="26"/>
          <w:szCs w:val="26"/>
        </w:rPr>
      </w:pPr>
    </w:p>
    <w:p w:rsidR="003162BE" w:rsidRPr="003162BE" w:rsidP="00703B86" w14:paraId="4397DF2C" w14:textId="73A9A436">
      <w:pPr>
        <w:spacing w:before="240" w:after="240"/>
        <w:contextualSpacing/>
        <w:jc w:val="center"/>
        <w:rPr>
          <w:sz w:val="26"/>
          <w:szCs w:val="26"/>
        </w:rPr>
      </w:pPr>
      <w:r w:rsidRPr="003162BE">
        <w:rPr>
          <w:sz w:val="26"/>
          <w:szCs w:val="26"/>
          <w:shd w:val="clear" w:color="auto" w:fill="FFFFFF"/>
        </w:rPr>
        <w:t>Sala das Comissões,</w:t>
      </w:r>
      <w:r w:rsidR="00B7360C">
        <w:rPr>
          <w:sz w:val="26"/>
          <w:szCs w:val="26"/>
          <w:shd w:val="clear" w:color="auto" w:fill="FFFFFF"/>
        </w:rPr>
        <w:t xml:space="preserve"> </w:t>
      </w:r>
      <w:r w:rsidRPr="003162BE">
        <w:rPr>
          <w:sz w:val="26"/>
          <w:szCs w:val="26"/>
          <w:shd w:val="clear" w:color="auto" w:fill="FFFFFF"/>
        </w:rPr>
        <w:t>20 de abril de 2</w:t>
      </w:r>
      <w:r w:rsidR="00B7360C">
        <w:rPr>
          <w:sz w:val="26"/>
          <w:szCs w:val="26"/>
          <w:shd w:val="clear" w:color="auto" w:fill="FFFFFF"/>
        </w:rPr>
        <w:t>.</w:t>
      </w:r>
      <w:r w:rsidRPr="003162BE">
        <w:rPr>
          <w:sz w:val="26"/>
          <w:szCs w:val="26"/>
          <w:shd w:val="clear" w:color="auto" w:fill="FFFFFF"/>
        </w:rPr>
        <w:t>021.</w:t>
      </w:r>
    </w:p>
    <w:p w:rsidR="005C22C6" w:rsidRPr="003162BE" w:rsidP="00703B86" w14:paraId="3F45A89E" w14:textId="4646F14C">
      <w:pPr>
        <w:spacing w:before="240" w:after="240"/>
        <w:contextualSpacing/>
        <w:jc w:val="center"/>
        <w:rPr>
          <w:sz w:val="26"/>
          <w:szCs w:val="26"/>
          <w:shd w:val="clear" w:color="auto" w:fill="FFFFFF"/>
        </w:rPr>
      </w:pPr>
    </w:p>
    <w:p w:rsidR="003162BE" w:rsidRPr="003162BE" w:rsidP="00703B86" w14:paraId="69421909" w14:textId="77777777">
      <w:pPr>
        <w:spacing w:before="240" w:after="240"/>
        <w:contextualSpacing/>
        <w:jc w:val="center"/>
        <w:rPr>
          <w:sz w:val="26"/>
          <w:szCs w:val="26"/>
        </w:rPr>
      </w:pPr>
      <w:r w:rsidRPr="003162BE">
        <w:rPr>
          <w:b/>
          <w:bCs/>
          <w:sz w:val="26"/>
          <w:szCs w:val="26"/>
          <w:u w:val="single"/>
          <w:shd w:val="clear" w:color="auto" w:fill="FFFFFF"/>
        </w:rPr>
        <w:t>COMISSÃO DE FINANÇAS E ORÇAMENTO</w:t>
      </w:r>
    </w:p>
    <w:p w:rsidR="003162BE" w:rsidRPr="0050201B" w:rsidP="00703B86" w14:paraId="27C75479" w14:textId="2AA3DC48">
      <w:pPr>
        <w:spacing w:before="240" w:after="240"/>
        <w:contextualSpacing/>
        <w:jc w:val="center"/>
        <w:rPr>
          <w:b/>
          <w:bCs/>
          <w:sz w:val="26"/>
          <w:szCs w:val="26"/>
          <w:shd w:val="clear" w:color="auto" w:fill="FFFFFF"/>
        </w:rPr>
      </w:pPr>
    </w:p>
    <w:p w:rsidR="005C22C6" w:rsidRPr="0050201B" w:rsidP="00703B86" w14:paraId="6A3A49C3" w14:textId="592CA5D7">
      <w:pPr>
        <w:spacing w:before="240" w:after="240"/>
        <w:contextualSpacing/>
        <w:jc w:val="center"/>
        <w:rPr>
          <w:b/>
          <w:bCs/>
          <w:sz w:val="26"/>
          <w:szCs w:val="26"/>
          <w:shd w:val="clear" w:color="auto" w:fill="FFFFFF"/>
        </w:rPr>
      </w:pPr>
    </w:p>
    <w:p w:rsidR="005C22C6" w:rsidRPr="0050201B" w:rsidP="00703B86" w14:paraId="20E30771" w14:textId="4BB9F31C">
      <w:pPr>
        <w:spacing w:before="240" w:after="240"/>
        <w:contextualSpacing/>
        <w:jc w:val="center"/>
        <w:rPr>
          <w:b/>
          <w:bCs/>
          <w:sz w:val="26"/>
          <w:szCs w:val="26"/>
          <w:shd w:val="clear" w:color="auto" w:fill="FFFFFF"/>
        </w:rPr>
      </w:pPr>
    </w:p>
    <w:p w:rsidR="008A7FFD" w:rsidRPr="0050201B" w:rsidP="00703B86" w14:paraId="37B04EBE" w14:textId="77777777">
      <w:pPr>
        <w:spacing w:before="240" w:after="240"/>
        <w:contextualSpacing/>
        <w:jc w:val="center"/>
        <w:rPr>
          <w:b/>
          <w:bCs/>
          <w:sz w:val="26"/>
          <w:szCs w:val="26"/>
          <w:shd w:val="clear" w:color="auto" w:fill="FFFFFF"/>
        </w:rPr>
      </w:pPr>
    </w:p>
    <w:p w:rsidR="005C22C6" w:rsidRPr="003162BE" w:rsidP="00703B86" w14:paraId="6FDCB08B" w14:textId="77777777">
      <w:pPr>
        <w:spacing w:before="240" w:after="240"/>
        <w:contextualSpacing/>
        <w:jc w:val="center"/>
        <w:rPr>
          <w:sz w:val="26"/>
          <w:szCs w:val="26"/>
        </w:rPr>
      </w:pPr>
    </w:p>
    <w:p w:rsidR="003162BE" w:rsidRPr="003162BE" w:rsidP="00703B86" w14:paraId="25007682" w14:textId="77777777">
      <w:pPr>
        <w:spacing w:before="240" w:after="240"/>
        <w:contextualSpacing/>
        <w:jc w:val="center"/>
        <w:rPr>
          <w:sz w:val="26"/>
          <w:szCs w:val="26"/>
        </w:rPr>
      </w:pPr>
      <w:r w:rsidRPr="003162BE">
        <w:rPr>
          <w:b/>
          <w:bCs/>
          <w:sz w:val="26"/>
          <w:szCs w:val="26"/>
          <w:shd w:val="clear" w:color="auto" w:fill="FFFFFF"/>
        </w:rPr>
        <w:t>VEREADOR MARCOS PAULO CEGATTI</w:t>
      </w:r>
    </w:p>
    <w:p w:rsidR="003162BE" w:rsidRPr="0050201B" w:rsidP="00703B86" w14:paraId="1DCF16D2" w14:textId="6B4690AB">
      <w:pPr>
        <w:spacing w:before="240" w:after="240"/>
        <w:contextualSpacing/>
        <w:jc w:val="center"/>
        <w:rPr>
          <w:sz w:val="26"/>
          <w:szCs w:val="26"/>
          <w:shd w:val="clear" w:color="auto" w:fill="FFFFFF"/>
        </w:rPr>
      </w:pPr>
      <w:r w:rsidRPr="003162BE">
        <w:rPr>
          <w:sz w:val="26"/>
          <w:szCs w:val="26"/>
          <w:shd w:val="clear" w:color="auto" w:fill="FFFFFF"/>
        </w:rPr>
        <w:t>Presidente- Relator</w:t>
      </w:r>
    </w:p>
    <w:p w:rsidR="005C22C6" w:rsidRPr="0050201B" w:rsidP="00703B86" w14:paraId="0EA412D4" w14:textId="47730B42">
      <w:pPr>
        <w:spacing w:before="240" w:after="240"/>
        <w:contextualSpacing/>
        <w:jc w:val="center"/>
        <w:rPr>
          <w:sz w:val="26"/>
          <w:szCs w:val="26"/>
          <w:shd w:val="clear" w:color="auto" w:fill="FFFFFF"/>
        </w:rPr>
      </w:pPr>
    </w:p>
    <w:p w:rsidR="005C22C6" w:rsidRPr="0050201B" w:rsidP="00703B86" w14:paraId="2383C9D1" w14:textId="11E22933">
      <w:pPr>
        <w:spacing w:before="240" w:after="240"/>
        <w:contextualSpacing/>
        <w:jc w:val="center"/>
        <w:rPr>
          <w:sz w:val="26"/>
          <w:szCs w:val="26"/>
          <w:shd w:val="clear" w:color="auto" w:fill="FFFFFF"/>
        </w:rPr>
      </w:pPr>
    </w:p>
    <w:p w:rsidR="005C22C6" w:rsidRPr="0050201B" w:rsidP="00703B86" w14:paraId="2C534DF0" w14:textId="159FBE9E">
      <w:pPr>
        <w:spacing w:before="240" w:after="240"/>
        <w:contextualSpacing/>
        <w:jc w:val="center"/>
        <w:rPr>
          <w:sz w:val="26"/>
          <w:szCs w:val="26"/>
          <w:shd w:val="clear" w:color="auto" w:fill="FFFFFF"/>
        </w:rPr>
      </w:pPr>
    </w:p>
    <w:p w:rsidR="00703B86" w:rsidRPr="0050201B" w:rsidP="00703B86" w14:paraId="021525E7" w14:textId="77777777">
      <w:pPr>
        <w:spacing w:before="240" w:after="240"/>
        <w:contextualSpacing/>
        <w:jc w:val="center"/>
        <w:rPr>
          <w:sz w:val="26"/>
          <w:szCs w:val="26"/>
          <w:shd w:val="clear" w:color="auto" w:fill="FFFFFF"/>
        </w:rPr>
      </w:pPr>
    </w:p>
    <w:p w:rsidR="005C22C6" w:rsidRPr="003162BE" w:rsidP="00703B86" w14:paraId="7A21AAF2" w14:textId="77777777">
      <w:pPr>
        <w:spacing w:before="240" w:after="240"/>
        <w:contextualSpacing/>
        <w:jc w:val="center"/>
        <w:rPr>
          <w:sz w:val="26"/>
          <w:szCs w:val="26"/>
        </w:rPr>
      </w:pPr>
    </w:p>
    <w:p w:rsidR="003162BE" w:rsidRPr="003162BE" w:rsidP="00703B86" w14:paraId="2CAB359B" w14:textId="0D28DA26">
      <w:pPr>
        <w:spacing w:before="240" w:after="240"/>
        <w:contextualSpacing/>
        <w:jc w:val="center"/>
        <w:rPr>
          <w:sz w:val="26"/>
          <w:szCs w:val="26"/>
        </w:rPr>
      </w:pPr>
      <w:r w:rsidRPr="003162BE">
        <w:rPr>
          <w:b/>
          <w:bCs/>
          <w:sz w:val="26"/>
          <w:szCs w:val="26"/>
          <w:shd w:val="clear" w:color="auto" w:fill="FFFFFF"/>
        </w:rPr>
        <w:t>VEREADOR ALEXANDRE CINTRA</w:t>
      </w:r>
    </w:p>
    <w:p w:rsidR="003162BE" w:rsidRPr="0050201B" w:rsidP="00703B86" w14:paraId="3F344171" w14:textId="78A80271">
      <w:pPr>
        <w:spacing w:before="240" w:after="240"/>
        <w:contextualSpacing/>
        <w:jc w:val="center"/>
        <w:rPr>
          <w:sz w:val="26"/>
          <w:szCs w:val="26"/>
          <w:shd w:val="clear" w:color="auto" w:fill="FFFFFF"/>
        </w:rPr>
      </w:pPr>
      <w:r w:rsidRPr="003162BE">
        <w:rPr>
          <w:sz w:val="26"/>
          <w:szCs w:val="26"/>
          <w:shd w:val="clear" w:color="auto" w:fill="FFFFFF"/>
        </w:rPr>
        <w:t>Vice-Presidente</w:t>
      </w:r>
    </w:p>
    <w:p w:rsidR="005C22C6" w:rsidRPr="0050201B" w:rsidP="00703B86" w14:paraId="6072A50E" w14:textId="2932FB9B">
      <w:pPr>
        <w:spacing w:before="240" w:after="240"/>
        <w:contextualSpacing/>
        <w:jc w:val="center"/>
        <w:rPr>
          <w:sz w:val="26"/>
          <w:szCs w:val="26"/>
          <w:shd w:val="clear" w:color="auto" w:fill="FFFFFF"/>
        </w:rPr>
      </w:pPr>
    </w:p>
    <w:p w:rsidR="005C22C6" w:rsidRPr="0050201B" w:rsidP="00703B86" w14:paraId="23EB23E8" w14:textId="0ECD3069">
      <w:pPr>
        <w:spacing w:before="240" w:after="240"/>
        <w:contextualSpacing/>
        <w:jc w:val="center"/>
        <w:rPr>
          <w:sz w:val="26"/>
          <w:szCs w:val="26"/>
          <w:shd w:val="clear" w:color="auto" w:fill="FFFFFF"/>
        </w:rPr>
      </w:pPr>
    </w:p>
    <w:p w:rsidR="005C22C6" w:rsidRPr="0050201B" w:rsidP="00703B86" w14:paraId="70C6D74D" w14:textId="173E96CB">
      <w:pPr>
        <w:spacing w:before="240" w:after="240"/>
        <w:contextualSpacing/>
        <w:jc w:val="center"/>
        <w:rPr>
          <w:sz w:val="26"/>
          <w:szCs w:val="26"/>
          <w:shd w:val="clear" w:color="auto" w:fill="FFFFFF"/>
        </w:rPr>
      </w:pPr>
    </w:p>
    <w:p w:rsidR="005C22C6" w:rsidRPr="0050201B" w:rsidP="00703B86" w14:paraId="572B99ED" w14:textId="3EBCEB12">
      <w:pPr>
        <w:spacing w:before="240" w:after="240"/>
        <w:contextualSpacing/>
        <w:jc w:val="center"/>
        <w:rPr>
          <w:sz w:val="26"/>
          <w:szCs w:val="26"/>
          <w:shd w:val="clear" w:color="auto" w:fill="FFFFFF"/>
        </w:rPr>
      </w:pPr>
    </w:p>
    <w:p w:rsidR="005C22C6" w:rsidRPr="0050201B" w:rsidP="00703B86" w14:paraId="7092E070" w14:textId="4DB90CCB">
      <w:pPr>
        <w:spacing w:before="240" w:after="240"/>
        <w:contextualSpacing/>
        <w:jc w:val="center"/>
        <w:rPr>
          <w:sz w:val="26"/>
          <w:szCs w:val="26"/>
          <w:shd w:val="clear" w:color="auto" w:fill="FFFFFF"/>
        </w:rPr>
      </w:pPr>
    </w:p>
    <w:p w:rsidR="005C22C6" w:rsidRPr="0050201B" w:rsidP="00703B86" w14:paraId="4F2C94FF" w14:textId="7C5CDEE3">
      <w:pPr>
        <w:spacing w:before="240" w:after="240"/>
        <w:contextualSpacing/>
        <w:jc w:val="center"/>
        <w:rPr>
          <w:sz w:val="26"/>
          <w:szCs w:val="26"/>
          <w:shd w:val="clear" w:color="auto" w:fill="FFFFFF"/>
        </w:rPr>
      </w:pPr>
    </w:p>
    <w:p w:rsidR="005C22C6" w:rsidRPr="0050201B" w:rsidP="00703B86" w14:paraId="11DFAC05" w14:textId="4CD6F18A">
      <w:pPr>
        <w:spacing w:before="240" w:after="240"/>
        <w:contextualSpacing/>
        <w:jc w:val="center"/>
        <w:rPr>
          <w:sz w:val="26"/>
          <w:szCs w:val="26"/>
          <w:shd w:val="clear" w:color="auto" w:fill="FFFFFF"/>
        </w:rPr>
      </w:pPr>
    </w:p>
    <w:p w:rsidR="005C22C6" w:rsidRPr="0050201B" w:rsidP="00703B86" w14:paraId="6CFD1E09" w14:textId="4576367B">
      <w:pPr>
        <w:spacing w:before="240" w:after="240"/>
        <w:contextualSpacing/>
        <w:jc w:val="center"/>
        <w:rPr>
          <w:sz w:val="26"/>
          <w:szCs w:val="26"/>
          <w:shd w:val="clear" w:color="auto" w:fill="FFFFFF"/>
        </w:rPr>
      </w:pPr>
    </w:p>
    <w:p w:rsidR="005C22C6" w:rsidRPr="0050201B" w:rsidP="00703B86" w14:paraId="6314E639" w14:textId="33D0F4DF">
      <w:pPr>
        <w:spacing w:before="240" w:after="240"/>
        <w:contextualSpacing/>
        <w:jc w:val="center"/>
        <w:rPr>
          <w:sz w:val="26"/>
          <w:szCs w:val="26"/>
          <w:shd w:val="clear" w:color="auto" w:fill="FFFFFF"/>
        </w:rPr>
      </w:pPr>
    </w:p>
    <w:p w:rsidR="005C22C6" w:rsidRPr="003162BE" w:rsidP="00703B86" w14:paraId="724ED285" w14:textId="77777777">
      <w:pPr>
        <w:spacing w:before="240" w:after="240"/>
        <w:contextualSpacing/>
        <w:jc w:val="center"/>
        <w:rPr>
          <w:sz w:val="26"/>
          <w:szCs w:val="26"/>
        </w:rPr>
      </w:pPr>
    </w:p>
    <w:p w:rsidR="003162BE" w:rsidRPr="003162BE" w:rsidP="00703B86" w14:paraId="52BF667D" w14:textId="7345982D">
      <w:pPr>
        <w:spacing w:before="240" w:after="240"/>
        <w:contextualSpacing/>
        <w:jc w:val="center"/>
        <w:rPr>
          <w:sz w:val="26"/>
          <w:szCs w:val="26"/>
        </w:rPr>
      </w:pPr>
      <w:r w:rsidRPr="003162BE">
        <w:rPr>
          <w:b/>
          <w:bCs/>
          <w:sz w:val="26"/>
          <w:szCs w:val="26"/>
          <w:shd w:val="clear" w:color="auto" w:fill="FFFFFF"/>
        </w:rPr>
        <w:t>VEREADORA MARA CRISTINA CHOQUETTA</w:t>
      </w:r>
    </w:p>
    <w:p w:rsidR="003162BE" w:rsidRPr="003162BE" w:rsidP="00703B86" w14:paraId="13CBAC78" w14:textId="77777777">
      <w:pPr>
        <w:spacing w:before="240" w:after="240"/>
        <w:contextualSpacing/>
        <w:jc w:val="center"/>
        <w:rPr>
          <w:sz w:val="26"/>
          <w:szCs w:val="26"/>
        </w:rPr>
      </w:pPr>
      <w:r w:rsidRPr="003162BE">
        <w:rPr>
          <w:sz w:val="26"/>
          <w:szCs w:val="26"/>
          <w:shd w:val="clear" w:color="auto" w:fill="FFFFFF"/>
        </w:rPr>
        <w:t>Membro</w:t>
      </w:r>
    </w:p>
    <w:p w:rsidR="000C3C28" w:rsidRPr="0050201B" w:rsidP="001244A1" w14:paraId="6E948887" w14:textId="77777777">
      <w:pPr>
        <w:spacing w:after="240"/>
        <w:contextualSpacing/>
        <w:jc w:val="both"/>
        <w:rPr>
          <w:sz w:val="26"/>
          <w:szCs w:val="26"/>
        </w:rPr>
      </w:pPr>
      <w:r w:rsidRPr="003162BE">
        <w:rPr>
          <w:sz w:val="26"/>
          <w:szCs w:val="26"/>
        </w:rPr>
        <w:br/>
      </w:r>
      <w:r w:rsidRPr="003162BE">
        <w:rPr>
          <w:sz w:val="26"/>
          <w:szCs w:val="26"/>
        </w:rPr>
        <w:br/>
      </w:r>
      <w:r w:rsidRPr="003162BE">
        <w:rPr>
          <w:sz w:val="26"/>
          <w:szCs w:val="26"/>
        </w:rPr>
        <w:br/>
      </w:r>
      <w:r w:rsidRPr="003162BE">
        <w:rPr>
          <w:sz w:val="26"/>
          <w:szCs w:val="26"/>
        </w:rPr>
        <w:br/>
      </w:r>
      <w:r w:rsidRPr="003162BE">
        <w:rPr>
          <w:sz w:val="26"/>
          <w:szCs w:val="26"/>
        </w:rPr>
        <w:br/>
      </w:r>
      <w:r w:rsidRPr="003162BE">
        <w:rPr>
          <w:sz w:val="26"/>
          <w:szCs w:val="26"/>
        </w:rPr>
        <w:br/>
      </w:r>
      <w:r w:rsidRPr="003162BE">
        <w:rPr>
          <w:sz w:val="26"/>
          <w:szCs w:val="26"/>
        </w:rPr>
        <w:br/>
      </w:r>
      <w:r w:rsidRPr="003162BE">
        <w:rPr>
          <w:sz w:val="26"/>
          <w:szCs w:val="26"/>
        </w:rPr>
        <w:br/>
      </w:r>
      <w:r w:rsidRPr="003162BE">
        <w:rPr>
          <w:sz w:val="26"/>
          <w:szCs w:val="26"/>
        </w:rPr>
        <w:br/>
      </w:r>
    </w:p>
    <w:p w:rsidR="000C3C28" w:rsidRPr="0050201B" w:rsidP="001244A1" w14:paraId="5539D8EE" w14:textId="77777777">
      <w:pPr>
        <w:spacing w:after="240"/>
        <w:contextualSpacing/>
        <w:jc w:val="both"/>
        <w:rPr>
          <w:sz w:val="26"/>
          <w:szCs w:val="26"/>
        </w:rPr>
      </w:pPr>
    </w:p>
    <w:p w:rsidR="000C3C28" w:rsidRPr="0050201B" w:rsidP="001244A1" w14:paraId="77273CA6" w14:textId="77777777">
      <w:pPr>
        <w:spacing w:after="240"/>
        <w:contextualSpacing/>
        <w:jc w:val="both"/>
        <w:rPr>
          <w:sz w:val="26"/>
          <w:szCs w:val="26"/>
        </w:rPr>
      </w:pPr>
    </w:p>
    <w:p w:rsidR="000C3C28" w:rsidRPr="0050201B" w:rsidP="001244A1" w14:paraId="5F6AF27D" w14:textId="77777777">
      <w:pPr>
        <w:spacing w:after="240"/>
        <w:contextualSpacing/>
        <w:jc w:val="both"/>
        <w:rPr>
          <w:sz w:val="26"/>
          <w:szCs w:val="26"/>
        </w:rPr>
      </w:pPr>
    </w:p>
    <w:p w:rsidR="000C3C28" w:rsidRPr="0050201B" w:rsidP="001244A1" w14:paraId="146C1F1F" w14:textId="77777777">
      <w:pPr>
        <w:spacing w:after="240"/>
        <w:contextualSpacing/>
        <w:jc w:val="both"/>
        <w:rPr>
          <w:sz w:val="26"/>
          <w:szCs w:val="26"/>
        </w:rPr>
      </w:pPr>
    </w:p>
    <w:p w:rsidR="000C3C28" w:rsidRPr="0050201B" w:rsidP="001244A1" w14:paraId="0255BBEE" w14:textId="77777777">
      <w:pPr>
        <w:spacing w:after="240"/>
        <w:contextualSpacing/>
        <w:jc w:val="both"/>
        <w:rPr>
          <w:sz w:val="26"/>
          <w:szCs w:val="26"/>
        </w:rPr>
      </w:pPr>
    </w:p>
    <w:p w:rsidR="000C3C28" w:rsidRPr="0050201B" w:rsidP="001244A1" w14:paraId="4C51A2FF" w14:textId="77777777">
      <w:pPr>
        <w:spacing w:after="240"/>
        <w:contextualSpacing/>
        <w:jc w:val="both"/>
        <w:rPr>
          <w:sz w:val="26"/>
          <w:szCs w:val="26"/>
        </w:rPr>
      </w:pPr>
    </w:p>
    <w:p w:rsidR="003162BE" w:rsidRPr="0050201B" w:rsidP="001244A1" w14:paraId="1450D3D8" w14:textId="77777777">
      <w:pPr>
        <w:spacing w:before="240" w:after="240"/>
        <w:contextualSpacing/>
        <w:jc w:val="both"/>
        <w:rPr>
          <w:b/>
          <w:bCs/>
          <w:sz w:val="26"/>
          <w:szCs w:val="26"/>
          <w:u w:val="single"/>
        </w:rPr>
      </w:pPr>
    </w:p>
    <w:sectPr>
      <w:headerReference w:type="even" r:id="rId5"/>
      <w:headerReference w:type="default" r:id="rId6"/>
      <w:footerReference w:type="default" r:id="rId7"/>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2150276"/>
      <w:docPartObj>
        <w:docPartGallery w:val="Page Numbers (Bottom of Page)"/>
        <w:docPartUnique/>
      </w:docPartObj>
    </w:sdtPr>
    <w:sdtContent>
      <w:p w:rsidR="00151A0E" w14:paraId="286E6AE6" w14:textId="565D485E">
        <w:pPr>
          <w:pStyle w:val="Footer"/>
          <w:jc w:val="right"/>
        </w:pPr>
        <w:r>
          <w:fldChar w:fldCharType="begin"/>
        </w:r>
        <w:r>
          <w:instrText>PAGE   \* MERGEFORMAT</w:instrText>
        </w:r>
        <w:r>
          <w:fldChar w:fldCharType="separate"/>
        </w:r>
        <w:r>
          <w:t>2</w:t>
        </w:r>
        <w:r>
          <w:fldChar w:fldCharType="end"/>
        </w:r>
      </w:p>
    </w:sdtContent>
  </w:sdt>
  <w:p w:rsidR="00151A0E" w:rsidRPr="00522A34" w:rsidP="00EB22C5" w14:paraId="7786C273" w14:textId="6C76E650">
    <w:pPr>
      <w:pStyle w:val="Footer"/>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1A0E" w14:paraId="3D7C2113"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1A0E" w14:paraId="5E0D9E95"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1A0E" w14:paraId="79181617" w14:textId="77777777">
    <w:pPr>
      <w:pStyle w:val="Header"/>
      <w:framePr w:wrap="around" w:vAnchor="text" w:hAnchor="margin" w:xAlign="right" w:y="1"/>
      <w:rPr>
        <w:rStyle w:val="PageNumber"/>
      </w:rPr>
    </w:pPr>
  </w:p>
  <w:p w:rsidR="00151A0E" w:rsidRPr="009C7EB6" w:rsidP="00BA4561" w14:paraId="2C145BE1" w14:textId="77777777">
    <w:pPr>
      <w:pStyle w:val="Header"/>
      <w:tabs>
        <w:tab w:val="clear" w:pos="4419"/>
        <w:tab w:val="right" w:pos="7513"/>
        <w:tab w:val="clear" w:pos="8838"/>
      </w:tabs>
      <w:jc w:val="center"/>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-741680</wp:posOffset>
          </wp:positionH>
          <wp:positionV relativeFrom="paragraph">
            <wp:posOffset>-196850</wp:posOffset>
          </wp:positionV>
          <wp:extent cx="1377950" cy="965835"/>
          <wp:effectExtent l="0" t="0" r="0" b="0"/>
          <wp:wrapNone/>
          <wp:docPr id="2"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542975"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7950" cy="965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7EB6">
      <w:rPr>
        <w:rFonts w:ascii="Bookman Old Style" w:hAnsi="Bookman Old Style"/>
        <w:b/>
        <w:sz w:val="34"/>
      </w:rPr>
      <w:t>CÂMARA MUNICIPAL DE MOGI MIRIM</w:t>
    </w:r>
  </w:p>
  <w:p w:rsidR="00151A0E" w:rsidRPr="009C7EB6" w:rsidP="00BA4561" w14:paraId="24159364" w14:textId="77777777">
    <w:pPr>
      <w:pStyle w:val="Header"/>
      <w:tabs>
        <w:tab w:val="clear" w:pos="4419"/>
        <w:tab w:val="right" w:pos="7513"/>
        <w:tab w:val="clear" w:pos="8838"/>
      </w:tabs>
      <w:jc w:val="center"/>
      <w:rPr>
        <w:rFonts w:ascii="Bookman Old Style" w:hAnsi="Bookman Old Style"/>
        <w:b/>
        <w:sz w:val="24"/>
      </w:rPr>
    </w:pPr>
    <w:r w:rsidRPr="009C7EB6">
      <w:rPr>
        <w:rFonts w:ascii="Bookman Old Style" w:hAnsi="Bookman Old Style"/>
        <w:b/>
        <w:sz w:val="24"/>
      </w:rPr>
      <w:t>Estado de São Paulo</w:t>
    </w:r>
  </w:p>
  <w:p w:rsidR="00151A0E" w:rsidP="00BA4561" w14:paraId="6AC43632" w14:textId="6B55D9CE">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Comissão de Finanças e Orçamento</w:t>
    </w:r>
  </w:p>
  <w:p w:rsidR="00151A0E" w:rsidP="00BA4561" w14:paraId="57919804" w14:textId="0781A5C0">
    <w:pPr>
      <w:pStyle w:val="Header"/>
      <w:tabs>
        <w:tab w:val="clear" w:pos="4419"/>
        <w:tab w:val="right" w:pos="7513"/>
        <w:tab w:val="clear" w:pos="8838"/>
      </w:tabs>
      <w:jc w:val="center"/>
      <w:rPr>
        <w:rFonts w:ascii="Bookman Old Style" w:hAnsi="Bookman Old Style"/>
        <w:b/>
        <w:sz w:val="24"/>
      </w:rPr>
    </w:pPr>
  </w:p>
  <w:p w:rsidR="00151A0E" w:rsidRPr="009C7EB6" w:rsidP="00597905" w14:paraId="13C0777E" w14:textId="71B4F83D">
    <w:pPr>
      <w:pStyle w:val="Header"/>
      <w:tabs>
        <w:tab w:val="clear" w:pos="4419"/>
        <w:tab w:val="right" w:pos="7513"/>
        <w:tab w:val="clear" w:pos="8838"/>
      </w:tabs>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091C95"/>
    <w:multiLevelType w:val="multilevel"/>
    <w:tmpl w:val="6570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1E5055"/>
    <w:multiLevelType w:val="multilevel"/>
    <w:tmpl w:val="3E18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8554A"/>
    <w:multiLevelType w:val="multilevel"/>
    <w:tmpl w:val="6BEC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6F4FD1"/>
    <w:multiLevelType w:val="multilevel"/>
    <w:tmpl w:val="84A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F50592"/>
    <w:multiLevelType w:val="multilevel"/>
    <w:tmpl w:val="B344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D11B7E"/>
    <w:multiLevelType w:val="multilevel"/>
    <w:tmpl w:val="D198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43C37"/>
    <w:multiLevelType w:val="multilevel"/>
    <w:tmpl w:val="7EBE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9607C8"/>
    <w:multiLevelType w:val="multilevel"/>
    <w:tmpl w:val="637A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2C173E"/>
    <w:multiLevelType w:val="multilevel"/>
    <w:tmpl w:val="DBC0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9426B0"/>
    <w:multiLevelType w:val="multilevel"/>
    <w:tmpl w:val="BBB8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C27C7B"/>
    <w:multiLevelType w:val="multilevel"/>
    <w:tmpl w:val="B89A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D16DCB"/>
    <w:multiLevelType w:val="multilevel"/>
    <w:tmpl w:val="B752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AD685E"/>
    <w:multiLevelType w:val="multilevel"/>
    <w:tmpl w:val="3BCE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0A393E"/>
    <w:multiLevelType w:val="multilevel"/>
    <w:tmpl w:val="9E00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1C6FFB"/>
    <w:multiLevelType w:val="multilevel"/>
    <w:tmpl w:val="A044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183AB2"/>
    <w:multiLevelType w:val="multilevel"/>
    <w:tmpl w:val="FCFA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814EB0"/>
    <w:multiLevelType w:val="multilevel"/>
    <w:tmpl w:val="F6A8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915281"/>
    <w:multiLevelType w:val="multilevel"/>
    <w:tmpl w:val="A606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7F5D8A"/>
    <w:multiLevelType w:val="multilevel"/>
    <w:tmpl w:val="764E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AE48EF"/>
    <w:multiLevelType w:val="multilevel"/>
    <w:tmpl w:val="69D0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3B01C1"/>
    <w:multiLevelType w:val="multilevel"/>
    <w:tmpl w:val="F83E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6A5A2C"/>
    <w:multiLevelType w:val="multilevel"/>
    <w:tmpl w:val="44B0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AD18B7"/>
    <w:multiLevelType w:val="hybridMultilevel"/>
    <w:tmpl w:val="B65424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9"/>
  </w:num>
  <w:num w:numId="4">
    <w:abstractNumId w:val="10"/>
  </w:num>
  <w:num w:numId="5">
    <w:abstractNumId w:val="17"/>
  </w:num>
  <w:num w:numId="6">
    <w:abstractNumId w:val="20"/>
  </w:num>
  <w:num w:numId="7">
    <w:abstractNumId w:val="4"/>
  </w:num>
  <w:num w:numId="8">
    <w:abstractNumId w:val="7"/>
  </w:num>
  <w:num w:numId="9">
    <w:abstractNumId w:val="16"/>
  </w:num>
  <w:num w:numId="10">
    <w:abstractNumId w:val="5"/>
  </w:num>
  <w:num w:numId="11">
    <w:abstractNumId w:val="14"/>
  </w:num>
  <w:num w:numId="12">
    <w:abstractNumId w:val="12"/>
  </w:num>
  <w:num w:numId="13">
    <w:abstractNumId w:val="21"/>
  </w:num>
  <w:num w:numId="14">
    <w:abstractNumId w:val="8"/>
  </w:num>
  <w:num w:numId="15">
    <w:abstractNumId w:val="11"/>
  </w:num>
  <w:num w:numId="16">
    <w:abstractNumId w:val="9"/>
  </w:num>
  <w:num w:numId="17">
    <w:abstractNumId w:val="6"/>
  </w:num>
  <w:num w:numId="18">
    <w:abstractNumId w:val="15"/>
  </w:num>
  <w:num w:numId="19">
    <w:abstractNumId w:val="2"/>
  </w:num>
  <w:num w:numId="20">
    <w:abstractNumId w:val="13"/>
  </w:num>
  <w:num w:numId="21">
    <w:abstractNumId w:val="0"/>
  </w:num>
  <w:num w:numId="22">
    <w:abstractNumId w:val="3"/>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3D"/>
    <w:rsid w:val="00001EC3"/>
    <w:rsid w:val="0000321F"/>
    <w:rsid w:val="00004D28"/>
    <w:rsid w:val="00022770"/>
    <w:rsid w:val="00024295"/>
    <w:rsid w:val="000246CE"/>
    <w:rsid w:val="00026714"/>
    <w:rsid w:val="00034148"/>
    <w:rsid w:val="00037CCA"/>
    <w:rsid w:val="00040937"/>
    <w:rsid w:val="0004317F"/>
    <w:rsid w:val="00043E09"/>
    <w:rsid w:val="00046342"/>
    <w:rsid w:val="00046775"/>
    <w:rsid w:val="00050FD9"/>
    <w:rsid w:val="000579DC"/>
    <w:rsid w:val="00061134"/>
    <w:rsid w:val="00066687"/>
    <w:rsid w:val="00070073"/>
    <w:rsid w:val="000764EE"/>
    <w:rsid w:val="000777D1"/>
    <w:rsid w:val="00084500"/>
    <w:rsid w:val="00085BAE"/>
    <w:rsid w:val="00091ECA"/>
    <w:rsid w:val="0009474B"/>
    <w:rsid w:val="00095A6F"/>
    <w:rsid w:val="00095B2B"/>
    <w:rsid w:val="000964BD"/>
    <w:rsid w:val="00096CB2"/>
    <w:rsid w:val="000A2C73"/>
    <w:rsid w:val="000A4986"/>
    <w:rsid w:val="000B0593"/>
    <w:rsid w:val="000B3048"/>
    <w:rsid w:val="000B57FF"/>
    <w:rsid w:val="000C08FF"/>
    <w:rsid w:val="000C0DA8"/>
    <w:rsid w:val="000C3C28"/>
    <w:rsid w:val="000C6B58"/>
    <w:rsid w:val="000D2AE5"/>
    <w:rsid w:val="000D61CA"/>
    <w:rsid w:val="000E0AE1"/>
    <w:rsid w:val="000E2832"/>
    <w:rsid w:val="000F13E6"/>
    <w:rsid w:val="000F3E85"/>
    <w:rsid w:val="000F48DB"/>
    <w:rsid w:val="000F6349"/>
    <w:rsid w:val="000F7FB9"/>
    <w:rsid w:val="00104CEE"/>
    <w:rsid w:val="0010665A"/>
    <w:rsid w:val="0012000C"/>
    <w:rsid w:val="00121869"/>
    <w:rsid w:val="001244A1"/>
    <w:rsid w:val="00151A0E"/>
    <w:rsid w:val="0016265F"/>
    <w:rsid w:val="00165AED"/>
    <w:rsid w:val="00170B13"/>
    <w:rsid w:val="00177014"/>
    <w:rsid w:val="0018202E"/>
    <w:rsid w:val="001849F3"/>
    <w:rsid w:val="00195CAB"/>
    <w:rsid w:val="001A6A11"/>
    <w:rsid w:val="001B2559"/>
    <w:rsid w:val="001B274A"/>
    <w:rsid w:val="001B372F"/>
    <w:rsid w:val="001B783D"/>
    <w:rsid w:val="001C2C16"/>
    <w:rsid w:val="001C3421"/>
    <w:rsid w:val="001C5E9B"/>
    <w:rsid w:val="001D2313"/>
    <w:rsid w:val="001D5454"/>
    <w:rsid w:val="001E037C"/>
    <w:rsid w:val="001E7C1B"/>
    <w:rsid w:val="00216D6E"/>
    <w:rsid w:val="002245A2"/>
    <w:rsid w:val="00233365"/>
    <w:rsid w:val="0024114F"/>
    <w:rsid w:val="00243F70"/>
    <w:rsid w:val="00244B45"/>
    <w:rsid w:val="00244E8D"/>
    <w:rsid w:val="002529B8"/>
    <w:rsid w:val="00265431"/>
    <w:rsid w:val="00270422"/>
    <w:rsid w:val="002709B4"/>
    <w:rsid w:val="00270C39"/>
    <w:rsid w:val="00281055"/>
    <w:rsid w:val="0028380C"/>
    <w:rsid w:val="002A184B"/>
    <w:rsid w:val="002A19DA"/>
    <w:rsid w:val="002A698A"/>
    <w:rsid w:val="002B1F3B"/>
    <w:rsid w:val="002C1545"/>
    <w:rsid w:val="002C7A76"/>
    <w:rsid w:val="002D7A96"/>
    <w:rsid w:val="002E0DCB"/>
    <w:rsid w:val="002E14C8"/>
    <w:rsid w:val="002E157A"/>
    <w:rsid w:val="002E1B9A"/>
    <w:rsid w:val="002E3E1A"/>
    <w:rsid w:val="002E4764"/>
    <w:rsid w:val="002F03C3"/>
    <w:rsid w:val="002F459D"/>
    <w:rsid w:val="002F47F3"/>
    <w:rsid w:val="00300C4B"/>
    <w:rsid w:val="003054AB"/>
    <w:rsid w:val="00307D45"/>
    <w:rsid w:val="0031099F"/>
    <w:rsid w:val="003135B5"/>
    <w:rsid w:val="003162BE"/>
    <w:rsid w:val="00322FA8"/>
    <w:rsid w:val="00324E37"/>
    <w:rsid w:val="00331318"/>
    <w:rsid w:val="003348D9"/>
    <w:rsid w:val="00343579"/>
    <w:rsid w:val="003508AB"/>
    <w:rsid w:val="00353B2B"/>
    <w:rsid w:val="00355B90"/>
    <w:rsid w:val="0036072E"/>
    <w:rsid w:val="003624D9"/>
    <w:rsid w:val="0036544E"/>
    <w:rsid w:val="003707CB"/>
    <w:rsid w:val="0037177E"/>
    <w:rsid w:val="00373262"/>
    <w:rsid w:val="00375181"/>
    <w:rsid w:val="003815E5"/>
    <w:rsid w:val="00386892"/>
    <w:rsid w:val="0039075D"/>
    <w:rsid w:val="003A13E0"/>
    <w:rsid w:val="003A6BCC"/>
    <w:rsid w:val="003C6BEA"/>
    <w:rsid w:val="003D4AE1"/>
    <w:rsid w:val="003D5436"/>
    <w:rsid w:val="003E3BBC"/>
    <w:rsid w:val="003F15EB"/>
    <w:rsid w:val="003F4815"/>
    <w:rsid w:val="004014B5"/>
    <w:rsid w:val="00403DA9"/>
    <w:rsid w:val="004058DE"/>
    <w:rsid w:val="004107B3"/>
    <w:rsid w:val="00410AF2"/>
    <w:rsid w:val="0041493A"/>
    <w:rsid w:val="0041546A"/>
    <w:rsid w:val="00421001"/>
    <w:rsid w:val="00421B07"/>
    <w:rsid w:val="004269B0"/>
    <w:rsid w:val="004272F8"/>
    <w:rsid w:val="00432BD4"/>
    <w:rsid w:val="00441BB6"/>
    <w:rsid w:val="0044385A"/>
    <w:rsid w:val="004517B0"/>
    <w:rsid w:val="00455DC3"/>
    <w:rsid w:val="00467570"/>
    <w:rsid w:val="00470B91"/>
    <w:rsid w:val="00471D4F"/>
    <w:rsid w:val="00471FC7"/>
    <w:rsid w:val="004743D1"/>
    <w:rsid w:val="00481935"/>
    <w:rsid w:val="00490DAA"/>
    <w:rsid w:val="00490F54"/>
    <w:rsid w:val="004972CB"/>
    <w:rsid w:val="0049742C"/>
    <w:rsid w:val="00497D99"/>
    <w:rsid w:val="004A5CA9"/>
    <w:rsid w:val="004B1045"/>
    <w:rsid w:val="004B2B12"/>
    <w:rsid w:val="004C0AC6"/>
    <w:rsid w:val="004C3A32"/>
    <w:rsid w:val="004C4F1A"/>
    <w:rsid w:val="004D4097"/>
    <w:rsid w:val="004D4BA3"/>
    <w:rsid w:val="004E7B30"/>
    <w:rsid w:val="004F252E"/>
    <w:rsid w:val="0050201B"/>
    <w:rsid w:val="00506090"/>
    <w:rsid w:val="0050695F"/>
    <w:rsid w:val="00507005"/>
    <w:rsid w:val="00510821"/>
    <w:rsid w:val="00511B7F"/>
    <w:rsid w:val="005147AB"/>
    <w:rsid w:val="00520B81"/>
    <w:rsid w:val="00521F4A"/>
    <w:rsid w:val="00522554"/>
    <w:rsid w:val="00522A34"/>
    <w:rsid w:val="00524186"/>
    <w:rsid w:val="0053479A"/>
    <w:rsid w:val="00544EBB"/>
    <w:rsid w:val="00545776"/>
    <w:rsid w:val="00545A3C"/>
    <w:rsid w:val="00551FA3"/>
    <w:rsid w:val="00557897"/>
    <w:rsid w:val="005678E1"/>
    <w:rsid w:val="00570CCE"/>
    <w:rsid w:val="0057282A"/>
    <w:rsid w:val="0057311B"/>
    <w:rsid w:val="0057477E"/>
    <w:rsid w:val="005829C9"/>
    <w:rsid w:val="005977BE"/>
    <w:rsid w:val="00597905"/>
    <w:rsid w:val="005B20BE"/>
    <w:rsid w:val="005B4F34"/>
    <w:rsid w:val="005B7BB6"/>
    <w:rsid w:val="005C22C6"/>
    <w:rsid w:val="005C3760"/>
    <w:rsid w:val="005C3A28"/>
    <w:rsid w:val="005D24F4"/>
    <w:rsid w:val="005F72DC"/>
    <w:rsid w:val="005F7FDE"/>
    <w:rsid w:val="00601B7D"/>
    <w:rsid w:val="00606E59"/>
    <w:rsid w:val="006277A5"/>
    <w:rsid w:val="00630754"/>
    <w:rsid w:val="00632741"/>
    <w:rsid w:val="006423BD"/>
    <w:rsid w:val="006427D0"/>
    <w:rsid w:val="0064382A"/>
    <w:rsid w:val="006447D7"/>
    <w:rsid w:val="00650D2A"/>
    <w:rsid w:val="00685B25"/>
    <w:rsid w:val="006A0CFA"/>
    <w:rsid w:val="006A13AE"/>
    <w:rsid w:val="006A1667"/>
    <w:rsid w:val="006A22B9"/>
    <w:rsid w:val="006A30E9"/>
    <w:rsid w:val="006A3ED0"/>
    <w:rsid w:val="006A659B"/>
    <w:rsid w:val="006A66DA"/>
    <w:rsid w:val="006A6816"/>
    <w:rsid w:val="006C6FB0"/>
    <w:rsid w:val="006D1AB4"/>
    <w:rsid w:val="006D5C94"/>
    <w:rsid w:val="006D698D"/>
    <w:rsid w:val="006E534D"/>
    <w:rsid w:val="006E5DBF"/>
    <w:rsid w:val="006E6096"/>
    <w:rsid w:val="006F0B4B"/>
    <w:rsid w:val="007028AF"/>
    <w:rsid w:val="00703B86"/>
    <w:rsid w:val="007051BE"/>
    <w:rsid w:val="0071292F"/>
    <w:rsid w:val="00713158"/>
    <w:rsid w:val="00713C38"/>
    <w:rsid w:val="00714378"/>
    <w:rsid w:val="0071572E"/>
    <w:rsid w:val="007224B1"/>
    <w:rsid w:val="00726350"/>
    <w:rsid w:val="00733C66"/>
    <w:rsid w:val="00733DB3"/>
    <w:rsid w:val="007439D0"/>
    <w:rsid w:val="0074530D"/>
    <w:rsid w:val="007471B1"/>
    <w:rsid w:val="00747DDF"/>
    <w:rsid w:val="007511D5"/>
    <w:rsid w:val="0075268D"/>
    <w:rsid w:val="007549D1"/>
    <w:rsid w:val="007561F8"/>
    <w:rsid w:val="0076129B"/>
    <w:rsid w:val="00772C4D"/>
    <w:rsid w:val="00785995"/>
    <w:rsid w:val="00792451"/>
    <w:rsid w:val="00797B0B"/>
    <w:rsid w:val="007A4D83"/>
    <w:rsid w:val="007B031C"/>
    <w:rsid w:val="007B2DAF"/>
    <w:rsid w:val="007B36A6"/>
    <w:rsid w:val="007B641A"/>
    <w:rsid w:val="007C1F92"/>
    <w:rsid w:val="007F16A6"/>
    <w:rsid w:val="007F186C"/>
    <w:rsid w:val="008029CA"/>
    <w:rsid w:val="008113B8"/>
    <w:rsid w:val="0082063D"/>
    <w:rsid w:val="00821D30"/>
    <w:rsid w:val="00826651"/>
    <w:rsid w:val="008272F8"/>
    <w:rsid w:val="00832CBB"/>
    <w:rsid w:val="008407E7"/>
    <w:rsid w:val="0084255C"/>
    <w:rsid w:val="008430EA"/>
    <w:rsid w:val="00843AE4"/>
    <w:rsid w:val="00845261"/>
    <w:rsid w:val="00847CF3"/>
    <w:rsid w:val="008633F8"/>
    <w:rsid w:val="008634BD"/>
    <w:rsid w:val="00865D37"/>
    <w:rsid w:val="00866F1D"/>
    <w:rsid w:val="008738CB"/>
    <w:rsid w:val="00876B49"/>
    <w:rsid w:val="008828D2"/>
    <w:rsid w:val="00890C2A"/>
    <w:rsid w:val="008A34FD"/>
    <w:rsid w:val="008A7FFD"/>
    <w:rsid w:val="008B1F9C"/>
    <w:rsid w:val="008B53A3"/>
    <w:rsid w:val="008C162B"/>
    <w:rsid w:val="008D34AB"/>
    <w:rsid w:val="008F0438"/>
    <w:rsid w:val="008F75FA"/>
    <w:rsid w:val="00901157"/>
    <w:rsid w:val="00903A23"/>
    <w:rsid w:val="00912432"/>
    <w:rsid w:val="00913219"/>
    <w:rsid w:val="00921E76"/>
    <w:rsid w:val="009263D3"/>
    <w:rsid w:val="0093395A"/>
    <w:rsid w:val="00933D0B"/>
    <w:rsid w:val="00935511"/>
    <w:rsid w:val="009468D3"/>
    <w:rsid w:val="009539A7"/>
    <w:rsid w:val="00953ED5"/>
    <w:rsid w:val="009569D7"/>
    <w:rsid w:val="00956CA5"/>
    <w:rsid w:val="00966232"/>
    <w:rsid w:val="00975221"/>
    <w:rsid w:val="0098387D"/>
    <w:rsid w:val="00992D71"/>
    <w:rsid w:val="009A22D2"/>
    <w:rsid w:val="009A4474"/>
    <w:rsid w:val="009B2E65"/>
    <w:rsid w:val="009C1346"/>
    <w:rsid w:val="009C37A0"/>
    <w:rsid w:val="009C642D"/>
    <w:rsid w:val="009C6FC8"/>
    <w:rsid w:val="009C7EB6"/>
    <w:rsid w:val="009D7612"/>
    <w:rsid w:val="009E2377"/>
    <w:rsid w:val="009E61F7"/>
    <w:rsid w:val="009F16E5"/>
    <w:rsid w:val="00A04EE7"/>
    <w:rsid w:val="00A15964"/>
    <w:rsid w:val="00A301AC"/>
    <w:rsid w:val="00A361AF"/>
    <w:rsid w:val="00A53012"/>
    <w:rsid w:val="00A727B5"/>
    <w:rsid w:val="00A83AC3"/>
    <w:rsid w:val="00A860E9"/>
    <w:rsid w:val="00A87CF4"/>
    <w:rsid w:val="00A87ED6"/>
    <w:rsid w:val="00AB0DDD"/>
    <w:rsid w:val="00AB205F"/>
    <w:rsid w:val="00AB6B51"/>
    <w:rsid w:val="00AC65E6"/>
    <w:rsid w:val="00AD3A84"/>
    <w:rsid w:val="00AE1553"/>
    <w:rsid w:val="00AE1E55"/>
    <w:rsid w:val="00AF24B6"/>
    <w:rsid w:val="00AF3628"/>
    <w:rsid w:val="00AF60CF"/>
    <w:rsid w:val="00B01408"/>
    <w:rsid w:val="00B0597D"/>
    <w:rsid w:val="00B1182C"/>
    <w:rsid w:val="00B17502"/>
    <w:rsid w:val="00B25A5E"/>
    <w:rsid w:val="00B30E47"/>
    <w:rsid w:val="00B56535"/>
    <w:rsid w:val="00B5737B"/>
    <w:rsid w:val="00B6042C"/>
    <w:rsid w:val="00B7360C"/>
    <w:rsid w:val="00B81D00"/>
    <w:rsid w:val="00B86CB9"/>
    <w:rsid w:val="00B92BFE"/>
    <w:rsid w:val="00B96BF7"/>
    <w:rsid w:val="00BA1843"/>
    <w:rsid w:val="00BA1DC5"/>
    <w:rsid w:val="00BA4561"/>
    <w:rsid w:val="00BB2350"/>
    <w:rsid w:val="00BB3308"/>
    <w:rsid w:val="00BC3319"/>
    <w:rsid w:val="00BD2C2A"/>
    <w:rsid w:val="00BD73A7"/>
    <w:rsid w:val="00BE71EC"/>
    <w:rsid w:val="00BF60CB"/>
    <w:rsid w:val="00BF7B62"/>
    <w:rsid w:val="00C07F8D"/>
    <w:rsid w:val="00C12D76"/>
    <w:rsid w:val="00C172EB"/>
    <w:rsid w:val="00C23E94"/>
    <w:rsid w:val="00C34B34"/>
    <w:rsid w:val="00C37145"/>
    <w:rsid w:val="00C377E9"/>
    <w:rsid w:val="00C45843"/>
    <w:rsid w:val="00C472FD"/>
    <w:rsid w:val="00C4743B"/>
    <w:rsid w:val="00C5643A"/>
    <w:rsid w:val="00C66E88"/>
    <w:rsid w:val="00C72157"/>
    <w:rsid w:val="00C77A55"/>
    <w:rsid w:val="00C83F14"/>
    <w:rsid w:val="00C875FB"/>
    <w:rsid w:val="00CA16FD"/>
    <w:rsid w:val="00CA1F87"/>
    <w:rsid w:val="00CA3B55"/>
    <w:rsid w:val="00CB064B"/>
    <w:rsid w:val="00CB54D1"/>
    <w:rsid w:val="00CB5EEF"/>
    <w:rsid w:val="00CC413F"/>
    <w:rsid w:val="00CC4E41"/>
    <w:rsid w:val="00CD0029"/>
    <w:rsid w:val="00CD1D8A"/>
    <w:rsid w:val="00CD523D"/>
    <w:rsid w:val="00CD6594"/>
    <w:rsid w:val="00CE049F"/>
    <w:rsid w:val="00CE2046"/>
    <w:rsid w:val="00CE3111"/>
    <w:rsid w:val="00CF3F68"/>
    <w:rsid w:val="00CF5746"/>
    <w:rsid w:val="00CF64EC"/>
    <w:rsid w:val="00CF70DC"/>
    <w:rsid w:val="00D01F34"/>
    <w:rsid w:val="00D12971"/>
    <w:rsid w:val="00D156D0"/>
    <w:rsid w:val="00D16489"/>
    <w:rsid w:val="00D256AD"/>
    <w:rsid w:val="00D325F3"/>
    <w:rsid w:val="00D417EA"/>
    <w:rsid w:val="00D43725"/>
    <w:rsid w:val="00D456C3"/>
    <w:rsid w:val="00D5792B"/>
    <w:rsid w:val="00D602D5"/>
    <w:rsid w:val="00D73745"/>
    <w:rsid w:val="00D7563C"/>
    <w:rsid w:val="00D76820"/>
    <w:rsid w:val="00D87EDE"/>
    <w:rsid w:val="00DA0FC5"/>
    <w:rsid w:val="00DB1393"/>
    <w:rsid w:val="00DB2006"/>
    <w:rsid w:val="00DB6226"/>
    <w:rsid w:val="00DC1654"/>
    <w:rsid w:val="00DC55D9"/>
    <w:rsid w:val="00DC6752"/>
    <w:rsid w:val="00DC74B9"/>
    <w:rsid w:val="00DD10A4"/>
    <w:rsid w:val="00DD1870"/>
    <w:rsid w:val="00DD3EDD"/>
    <w:rsid w:val="00DD6D26"/>
    <w:rsid w:val="00DE547C"/>
    <w:rsid w:val="00DE6FD4"/>
    <w:rsid w:val="00E019AA"/>
    <w:rsid w:val="00E05560"/>
    <w:rsid w:val="00E056A7"/>
    <w:rsid w:val="00E13685"/>
    <w:rsid w:val="00E232A6"/>
    <w:rsid w:val="00E40F31"/>
    <w:rsid w:val="00E4766B"/>
    <w:rsid w:val="00E51712"/>
    <w:rsid w:val="00E532DE"/>
    <w:rsid w:val="00E54757"/>
    <w:rsid w:val="00E55452"/>
    <w:rsid w:val="00E6234E"/>
    <w:rsid w:val="00E65468"/>
    <w:rsid w:val="00E73105"/>
    <w:rsid w:val="00E771CF"/>
    <w:rsid w:val="00E77AF6"/>
    <w:rsid w:val="00E77D29"/>
    <w:rsid w:val="00E821BC"/>
    <w:rsid w:val="00E86074"/>
    <w:rsid w:val="00E873FE"/>
    <w:rsid w:val="00E8786D"/>
    <w:rsid w:val="00EA0EBC"/>
    <w:rsid w:val="00EB1832"/>
    <w:rsid w:val="00EB22C5"/>
    <w:rsid w:val="00EB55F5"/>
    <w:rsid w:val="00EB78FF"/>
    <w:rsid w:val="00EB7A3F"/>
    <w:rsid w:val="00EC0454"/>
    <w:rsid w:val="00EC055E"/>
    <w:rsid w:val="00EC6FD0"/>
    <w:rsid w:val="00ED2DF2"/>
    <w:rsid w:val="00ED60A7"/>
    <w:rsid w:val="00EE3410"/>
    <w:rsid w:val="00EE355D"/>
    <w:rsid w:val="00EF374B"/>
    <w:rsid w:val="00EF3E4D"/>
    <w:rsid w:val="00F00D98"/>
    <w:rsid w:val="00F011C7"/>
    <w:rsid w:val="00F03FB0"/>
    <w:rsid w:val="00F04C44"/>
    <w:rsid w:val="00F106C1"/>
    <w:rsid w:val="00F14A10"/>
    <w:rsid w:val="00F27FBB"/>
    <w:rsid w:val="00F31B45"/>
    <w:rsid w:val="00F3494A"/>
    <w:rsid w:val="00F37B65"/>
    <w:rsid w:val="00F464BB"/>
    <w:rsid w:val="00F4729E"/>
    <w:rsid w:val="00F47C12"/>
    <w:rsid w:val="00F50962"/>
    <w:rsid w:val="00F550A7"/>
    <w:rsid w:val="00F57603"/>
    <w:rsid w:val="00F66392"/>
    <w:rsid w:val="00F67958"/>
    <w:rsid w:val="00F73A99"/>
    <w:rsid w:val="00F775FD"/>
    <w:rsid w:val="00F84814"/>
    <w:rsid w:val="00F94ABE"/>
    <w:rsid w:val="00FB346C"/>
    <w:rsid w:val="00FD1197"/>
    <w:rsid w:val="00FD1BB3"/>
    <w:rsid w:val="00FD2AA1"/>
    <w:rsid w:val="00FD4F09"/>
    <w:rsid w:val="00FD6F76"/>
    <w:rsid w:val="00FE2407"/>
    <w:rsid w:val="00FE5EBF"/>
    <w:rsid w:val="00FF1AB5"/>
    <w:rsid w:val="00FF766A"/>
    <w:rsid w:val="00FF7DF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5966D9B-894C-466C-AF3D-6126FDA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character" w:styleId="PageNumber">
    <w:name w:val="page number"/>
    <w:basedOn w:val="DefaultParagraphFont"/>
  </w:style>
  <w:style w:type="paragraph" w:styleId="Header">
    <w:name w:val="header"/>
    <w:basedOn w:val="Normal"/>
    <w:pPr>
      <w:tabs>
        <w:tab w:val="center" w:pos="4419"/>
        <w:tab w:val="right" w:pos="8838"/>
      </w:tabs>
    </w:pPr>
  </w:style>
  <w:style w:type="paragraph" w:styleId="Footer">
    <w:name w:val="footer"/>
    <w:basedOn w:val="Normal"/>
    <w:link w:val="RodapChar"/>
    <w:uiPriority w:val="99"/>
    <w:pPr>
      <w:tabs>
        <w:tab w:val="center" w:pos="4419"/>
        <w:tab w:val="right" w:pos="8838"/>
      </w:tabs>
    </w:pPr>
  </w:style>
  <w:style w:type="paragraph" w:styleId="BalloonText">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BalloonText"/>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 w:type="paragraph" w:styleId="NormalWeb">
    <w:name w:val="Normal (Web)"/>
    <w:basedOn w:val="Normal"/>
    <w:uiPriority w:val="99"/>
    <w:unhideWhenUsed/>
    <w:rsid w:val="00244B45"/>
    <w:pPr>
      <w:spacing w:before="100" w:beforeAutospacing="1" w:after="100" w:afterAutospacing="1"/>
    </w:pPr>
    <w:rPr>
      <w:sz w:val="24"/>
      <w:szCs w:val="24"/>
    </w:rPr>
  </w:style>
  <w:style w:type="character" w:customStyle="1" w:styleId="apple-tab-span">
    <w:name w:val="apple-tab-span"/>
    <w:basedOn w:val="DefaultParagraphFont"/>
    <w:rsid w:val="00244B45"/>
  </w:style>
  <w:style w:type="table" w:styleId="PlainTable3">
    <w:name w:val="Plain Table 3"/>
    <w:basedOn w:val="TableNormal"/>
    <w:uiPriority w:val="43"/>
    <w:rsid w:val="003F15E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3F15E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A301AC"/>
    <w:pPr>
      <w:ind w:left="720"/>
      <w:contextualSpacing/>
    </w:pPr>
  </w:style>
  <w:style w:type="character" w:customStyle="1" w:styleId="RodapChar">
    <w:name w:val="Rodapé Char"/>
    <w:basedOn w:val="DefaultParagraphFont"/>
    <w:link w:val="Footer"/>
    <w:uiPriority w:val="99"/>
    <w:rsid w:val="00847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C5095-06B3-44CB-84EE-5E00FB24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3515</Words>
  <Characters>19779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Felipe Vedovato</cp:lastModifiedBy>
  <cp:revision>67</cp:revision>
  <cp:lastPrinted>2021-05-12T14:30:00Z</cp:lastPrinted>
  <dcterms:created xsi:type="dcterms:W3CDTF">2021-04-20T16:20:00Z</dcterms:created>
  <dcterms:modified xsi:type="dcterms:W3CDTF">2021-05-12T17:29:00Z</dcterms:modified>
</cp:coreProperties>
</file>