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6612" w14:textId="77777777" w:rsidR="00D829B1" w:rsidRDefault="00D829B1" w:rsidP="00D829B1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019/21</w:t>
      </w:r>
    </w:p>
    <w:p w14:paraId="77319BCC" w14:textId="77777777" w:rsidR="00D829B1" w:rsidRDefault="00D829B1" w:rsidP="00D829B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[Proc. Adm. nº 5533/2021]</w:t>
      </w:r>
    </w:p>
    <w:p w14:paraId="4532EA74" w14:textId="77777777" w:rsidR="00D829B1" w:rsidRDefault="00D829B1" w:rsidP="00D829B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D593C08" w14:textId="77777777" w:rsidR="00D829B1" w:rsidRDefault="00D829B1" w:rsidP="00D829B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14 de maio de 2 021.</w:t>
      </w:r>
    </w:p>
    <w:p w14:paraId="7360DB37" w14:textId="77777777" w:rsidR="00D829B1" w:rsidRDefault="00D829B1" w:rsidP="00D829B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5C6C4CA" w14:textId="77777777" w:rsidR="00D829B1" w:rsidRDefault="00D829B1" w:rsidP="00D829B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578644F" w14:textId="77777777" w:rsidR="00D829B1" w:rsidRDefault="00D829B1" w:rsidP="00D829B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46ACE5E4" w14:textId="77777777" w:rsidR="00D829B1" w:rsidRDefault="00D829B1" w:rsidP="00D829B1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71FC48B2" w14:textId="77777777" w:rsidR="00D829B1" w:rsidRDefault="00D829B1" w:rsidP="00D829B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767DD1F1" w14:textId="77777777" w:rsidR="00D829B1" w:rsidRDefault="00D829B1" w:rsidP="00D829B1">
      <w:pPr>
        <w:pStyle w:val="Corpodetexto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53EBFF5D" w14:textId="77777777" w:rsidR="00D829B1" w:rsidRDefault="00D829B1" w:rsidP="00D829B1">
      <w:pPr>
        <w:pStyle w:val="Corpodetexto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1FB07385" w14:textId="77777777" w:rsidR="00D829B1" w:rsidRDefault="00D829B1" w:rsidP="00D829B1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Senhora Presidente,</w:t>
      </w:r>
    </w:p>
    <w:p w14:paraId="4F4C7BE6" w14:textId="77777777" w:rsidR="00D829B1" w:rsidRDefault="00D829B1" w:rsidP="00D829B1">
      <w:pPr>
        <w:pStyle w:val="Corpodetexto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443A0471" w14:textId="77777777" w:rsidR="00D829B1" w:rsidRDefault="00D829B1" w:rsidP="00D829B1">
      <w:pPr>
        <w:pStyle w:val="Corpodetexto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00C92D62" w14:textId="77777777" w:rsidR="00D829B1" w:rsidRDefault="00D829B1" w:rsidP="00D829B1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Dirijo-me a Vossas Excelências para encaminhar o presente Projeto de Lei, que “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Altera A FORMA DE PARCELAMENTO DE DÉBITOS FISCAIS, INSTITUI A COMPENSAÇÃO E A DAÇÃO EM PAGAMENTO, ALÉM DE INSTITUIR O PROGRAMA ESPECIAL DE REGULARIZAÇÃO FISCAL - REFIS”</w:t>
      </w:r>
      <w:r>
        <w:rPr>
          <w:rFonts w:ascii="Times New Roman" w:hAnsi="Times New Roman" w:cs="Times New Roman"/>
          <w:sz w:val="24"/>
          <w:szCs w:val="24"/>
        </w:rPr>
        <w:t>, com o objetivo de diminuir os valores inscritos em Dívida Ativa, criando um incentivo para os contribuintes que desejam regularizar suas dívidas tributárias.</w:t>
      </w:r>
    </w:p>
    <w:p w14:paraId="40DEC345" w14:textId="77777777" w:rsidR="00D829B1" w:rsidRDefault="00D829B1" w:rsidP="00D829B1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CF61086" w14:textId="77777777" w:rsidR="00D829B1" w:rsidRDefault="00D829B1" w:rsidP="00D829B1">
      <w:pPr>
        <w:pStyle w:val="Textoembloco1"/>
        <w:ind w:left="0" w:right="57" w:firstLine="3828"/>
        <w:rPr>
          <w:sz w:val="24"/>
          <w:szCs w:val="24"/>
        </w:rPr>
      </w:pPr>
      <w:r>
        <w:rPr>
          <w:i w:val="0"/>
          <w:sz w:val="24"/>
          <w:szCs w:val="24"/>
        </w:rPr>
        <w:t>O parcelamento em 36 vezes é uma concessão de melhores prazos para execução da dívida tributária. A matéria foi introduzida ao Código Tributário Nacional e é uma alternativa, que necessariamente deve ser disciplinada em Lei específica, para que o Executivo possa vir a cobrar os débitos existentes contra a Fazenda Pública Municipal.</w:t>
      </w:r>
    </w:p>
    <w:p w14:paraId="46E4BD8B" w14:textId="77777777" w:rsidR="00D829B1" w:rsidRDefault="00D829B1" w:rsidP="00D829B1">
      <w:pPr>
        <w:pStyle w:val="Textoembloco1"/>
        <w:ind w:left="0" w:right="57" w:firstLine="3828"/>
        <w:rPr>
          <w:i w:val="0"/>
          <w:sz w:val="24"/>
          <w:szCs w:val="24"/>
        </w:rPr>
      </w:pPr>
    </w:p>
    <w:p w14:paraId="504867AB" w14:textId="77777777" w:rsidR="00D829B1" w:rsidRDefault="00D829B1" w:rsidP="00D829B1">
      <w:pPr>
        <w:pStyle w:val="Textoembloco1"/>
        <w:ind w:left="0" w:right="57" w:firstLine="3828"/>
        <w:rPr>
          <w:sz w:val="24"/>
          <w:szCs w:val="24"/>
        </w:rPr>
      </w:pPr>
      <w:r>
        <w:rPr>
          <w:i w:val="0"/>
          <w:sz w:val="24"/>
          <w:szCs w:val="24"/>
        </w:rPr>
        <w:t xml:space="preserve">O </w:t>
      </w:r>
      <w:r>
        <w:rPr>
          <w:b/>
          <w:bCs/>
          <w:i w:val="0"/>
          <w:caps/>
          <w:sz w:val="24"/>
          <w:szCs w:val="24"/>
        </w:rPr>
        <w:t xml:space="preserve">PROGRAMA ESPECIAL DE REGULARIZAÇÃO FISCAL - </w:t>
      </w:r>
      <w:r>
        <w:rPr>
          <w:b/>
          <w:i w:val="0"/>
          <w:sz w:val="24"/>
          <w:szCs w:val="24"/>
        </w:rPr>
        <w:t xml:space="preserve">REFIS </w:t>
      </w:r>
      <w:r>
        <w:rPr>
          <w:i w:val="0"/>
          <w:sz w:val="24"/>
          <w:szCs w:val="24"/>
        </w:rPr>
        <w:t>é um modelo especial de parcelamento, dispositivo este que foi acrescentado ao artigo 151, inciso VI, da Lei nº 5.172/66 – Código Tributário Nacional e disciplinado no artigo 155-A do mesmo diploma legal, ambos introduzidos pela Lei Complementar n. 104/2001.</w:t>
      </w:r>
    </w:p>
    <w:p w14:paraId="04BDF3BA" w14:textId="77777777" w:rsidR="00D829B1" w:rsidRDefault="00D829B1" w:rsidP="00D829B1">
      <w:pPr>
        <w:pStyle w:val="Textoembloco1"/>
        <w:ind w:left="0" w:right="57" w:firstLine="3828"/>
        <w:rPr>
          <w:i w:val="0"/>
          <w:sz w:val="24"/>
          <w:szCs w:val="24"/>
        </w:rPr>
      </w:pPr>
    </w:p>
    <w:p w14:paraId="063BC991" w14:textId="77777777" w:rsidR="00D829B1" w:rsidRDefault="00D829B1" w:rsidP="00D829B1">
      <w:pPr>
        <w:ind w:right="51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benefícios concedidos, exige-se do devedor, a confissão dos débitos, desistência das demandas judiciais ou administrativas, sujeição da pessoa jurídica e da pessoa física ao pagamento regular dos tributos municipais vincendos posteriormente à data da adesão e pagamento das parcelas do débito consolidado.</w:t>
      </w:r>
    </w:p>
    <w:p w14:paraId="3EB06C7C" w14:textId="77777777" w:rsidR="00D829B1" w:rsidRDefault="00D829B1" w:rsidP="00D829B1">
      <w:pPr>
        <w:ind w:right="51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13E9C5A" w14:textId="77777777" w:rsidR="00D829B1" w:rsidRDefault="00D829B1" w:rsidP="00D829B1">
      <w:pPr>
        <w:ind w:right="51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Também estamos incluindo nesta Lei a possibilidade do contribuinte compensar sua dívida </w:t>
      </w:r>
      <w:r>
        <w:rPr>
          <w:rFonts w:ascii="Times New Roman" w:hAnsi="Times New Roman" w:cs="Times New Roman"/>
          <w:color w:val="333333"/>
          <w:sz w:val="24"/>
          <w:szCs w:val="24"/>
        </w:rPr>
        <w:t>tributária com créditos líquidos e certos, ou seja, o contribuinte que vem a ser prestador de serviços ou fornecedor para a Prefeitura, pode solicitar a compensação dos valores a receber para quitar a sua dívida. Da mesma forma o proprietário de um imóvel, passa a poder ofertar seu imóvel para a quitação da totalidade ou parte de sua dívida.</w:t>
      </w:r>
    </w:p>
    <w:p w14:paraId="2A00F13A" w14:textId="77777777" w:rsidR="00D829B1" w:rsidRDefault="00D829B1" w:rsidP="00D829B1">
      <w:pPr>
        <w:ind w:right="51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03BAA1A" w14:textId="77777777" w:rsidR="00D168BA" w:rsidRDefault="00D168BA" w:rsidP="00D829B1">
      <w:pPr>
        <w:pStyle w:val="Textoembloco1"/>
        <w:ind w:left="0" w:right="57" w:firstLine="3828"/>
        <w:rPr>
          <w:i w:val="0"/>
          <w:sz w:val="24"/>
          <w:szCs w:val="24"/>
        </w:rPr>
      </w:pPr>
    </w:p>
    <w:p w14:paraId="2DB8C6A3" w14:textId="02354243" w:rsidR="00D829B1" w:rsidRDefault="00D829B1" w:rsidP="00D829B1">
      <w:pPr>
        <w:pStyle w:val="Textoembloco1"/>
        <w:ind w:left="0" w:right="57" w:firstLine="3828"/>
        <w:rPr>
          <w:sz w:val="24"/>
          <w:szCs w:val="24"/>
        </w:rPr>
      </w:pPr>
      <w:r>
        <w:rPr>
          <w:i w:val="0"/>
          <w:sz w:val="24"/>
          <w:szCs w:val="24"/>
        </w:rPr>
        <w:t xml:space="preserve">Em relação a possível renúncia de receitas enumeradas no artigo 14 da Lei Complementar nº 101/2000 – LRF, temos a esclarecer que o incentivo propiciará a regularização de diversos débitos, aumentando a receita do município, porém sem reduzir qualquer tributo lançado, apenas as multas e juros moratórios. </w:t>
      </w:r>
    </w:p>
    <w:p w14:paraId="24A92219" w14:textId="77777777" w:rsidR="00D829B1" w:rsidRDefault="00D829B1" w:rsidP="00D829B1">
      <w:pPr>
        <w:pStyle w:val="Textoembloco1"/>
        <w:ind w:left="0" w:right="57" w:firstLine="3828"/>
        <w:rPr>
          <w:i w:val="0"/>
          <w:sz w:val="24"/>
          <w:szCs w:val="24"/>
        </w:rPr>
      </w:pPr>
    </w:p>
    <w:p w14:paraId="078DEC7B" w14:textId="77777777" w:rsidR="00D829B1" w:rsidRDefault="00D829B1" w:rsidP="00D829B1">
      <w:pPr>
        <w:pStyle w:val="Textoembloco1"/>
        <w:ind w:left="0" w:right="57" w:firstLine="3828"/>
        <w:rPr>
          <w:sz w:val="24"/>
          <w:szCs w:val="24"/>
        </w:rPr>
      </w:pPr>
      <w:r>
        <w:rPr>
          <w:i w:val="0"/>
          <w:sz w:val="24"/>
          <w:szCs w:val="24"/>
        </w:rPr>
        <w:t xml:space="preserve">A regra é a admissão do parcelamento administrativo, como concessão posta facultativamente a favor da Administração para obter os seus créditos. Com o parcelamento, quer seja convencional ou especial, o contribuinte abandona o estado de inadimplência e regulariza sua situação junto ao Fisco, situação esta que só desaparecerá se deixar de honrar com a obrigação pactuada, enquanto não inteiramente pago o parcelamento, opera-se a suspensão do débito tributário até a quitação integral. </w:t>
      </w:r>
    </w:p>
    <w:p w14:paraId="6AB5E487" w14:textId="77777777" w:rsidR="00D829B1" w:rsidRDefault="00D829B1" w:rsidP="00D829B1">
      <w:pPr>
        <w:pStyle w:val="Textoembloco1"/>
        <w:ind w:firstLine="3828"/>
        <w:rPr>
          <w:i w:val="0"/>
          <w:sz w:val="24"/>
          <w:szCs w:val="24"/>
        </w:rPr>
      </w:pPr>
    </w:p>
    <w:p w14:paraId="5F0CF192" w14:textId="77777777" w:rsidR="00D829B1" w:rsidRDefault="00D829B1" w:rsidP="00D829B1">
      <w:pPr>
        <w:pStyle w:val="Textoembloco1"/>
        <w:ind w:left="0" w:right="57" w:firstLine="3828"/>
        <w:rPr>
          <w:sz w:val="24"/>
          <w:szCs w:val="24"/>
        </w:rPr>
      </w:pPr>
      <w:r>
        <w:rPr>
          <w:i w:val="0"/>
          <w:sz w:val="24"/>
          <w:szCs w:val="24"/>
        </w:rPr>
        <w:t>O certo é que esta concessão, como cláusula suspensiva do débito para com o município (inciso VI do art. 151 do CTN), não tem por intuito lesar o patrimônio público, muito pelo contrário, objetiva facilitar os ingressos de recursos decorrentes das variadas formas de receita, sem maiores sacrifícios para o contribuinte. De acordo com o artigo 174 do CTN, não ocorre nenhum prejuízo aos cofres municipais, posto que, enquanto pendente o parcelamento, não há que falar em prescrição.</w:t>
      </w:r>
    </w:p>
    <w:p w14:paraId="0E9C68C6" w14:textId="77777777" w:rsidR="00D829B1" w:rsidRDefault="00D829B1" w:rsidP="00D829B1">
      <w:pPr>
        <w:pStyle w:val="Textoembloco1"/>
        <w:ind w:firstLine="3828"/>
        <w:rPr>
          <w:i w:val="0"/>
          <w:sz w:val="24"/>
          <w:szCs w:val="24"/>
        </w:rPr>
      </w:pPr>
    </w:p>
    <w:p w14:paraId="216C3BA3" w14:textId="77777777" w:rsidR="00D829B1" w:rsidRDefault="00D829B1" w:rsidP="00D829B1">
      <w:pPr>
        <w:pStyle w:val="Textoembloco1"/>
        <w:ind w:left="0" w:firstLine="3828"/>
        <w:rPr>
          <w:sz w:val="24"/>
          <w:szCs w:val="24"/>
        </w:rPr>
      </w:pPr>
      <w:r>
        <w:rPr>
          <w:i w:val="0"/>
          <w:sz w:val="24"/>
          <w:szCs w:val="24"/>
        </w:rPr>
        <w:t>As novas regras de parcelamento e o programa especial de recuperação fiscal tratado no incluso projeto de lei, certamente, facilitara para os contribuintes o acesso à regularização dos seus débitos, uma vez que ao reduzir, total ou parcialmente as multas e os juros, reduzem o impacto da regularização, além disso, será mais uma fonte de recursos para que o município possa programar os programas de atendimento às necessidades básicas da população.</w:t>
      </w:r>
    </w:p>
    <w:p w14:paraId="5038AF89" w14:textId="77777777" w:rsidR="00D829B1" w:rsidRDefault="00D829B1" w:rsidP="00D829B1">
      <w:pPr>
        <w:pStyle w:val="Textoembloco1"/>
        <w:ind w:left="0" w:firstLine="3828"/>
        <w:rPr>
          <w:i w:val="0"/>
          <w:sz w:val="24"/>
          <w:szCs w:val="24"/>
        </w:rPr>
      </w:pPr>
    </w:p>
    <w:p w14:paraId="29B2F403" w14:textId="77777777" w:rsidR="00D829B1" w:rsidRDefault="00D829B1" w:rsidP="00D829B1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a presente propositura reúne todas as condições necessárias para se tornar Lei, para tanto, conto com a aprovação dessa eminente Casa a presente iniciativa, no interesse do Município.</w:t>
      </w:r>
    </w:p>
    <w:p w14:paraId="5147D761" w14:textId="77777777" w:rsidR="00D829B1" w:rsidRDefault="00D829B1" w:rsidP="00D829B1">
      <w:pPr>
        <w:ind w:left="362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E783C" w14:textId="77777777" w:rsidR="00D829B1" w:rsidRDefault="00D829B1" w:rsidP="00D829B1">
      <w:pPr>
        <w:pStyle w:val="TextosemFormatao"/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47F76106" w14:textId="77777777" w:rsidR="00D829B1" w:rsidRDefault="00D829B1" w:rsidP="00D829B1">
      <w:pPr>
        <w:pStyle w:val="Rodap"/>
        <w:ind w:firstLine="3480"/>
        <w:jc w:val="both"/>
        <w:rPr>
          <w:rFonts w:ascii="Times New Roman" w:hAnsi="Times New Roman" w:cs="Times New Roman"/>
          <w:sz w:val="24"/>
          <w:szCs w:val="24"/>
        </w:rPr>
      </w:pPr>
    </w:p>
    <w:p w14:paraId="78520B1A" w14:textId="77777777" w:rsidR="00D829B1" w:rsidRDefault="00D829B1" w:rsidP="00D829B1">
      <w:pPr>
        <w:pStyle w:val="Rodap"/>
        <w:ind w:firstLine="3480"/>
        <w:jc w:val="both"/>
        <w:rPr>
          <w:rFonts w:ascii="Times New Roman" w:hAnsi="Times New Roman" w:cs="Times New Roman"/>
          <w:sz w:val="24"/>
          <w:szCs w:val="24"/>
        </w:rPr>
      </w:pPr>
    </w:p>
    <w:p w14:paraId="7E80E22C" w14:textId="77777777" w:rsidR="00D829B1" w:rsidRDefault="00D829B1" w:rsidP="00D829B1">
      <w:pPr>
        <w:pStyle w:val="Rodap"/>
        <w:ind w:firstLine="3480"/>
        <w:jc w:val="both"/>
        <w:rPr>
          <w:rFonts w:ascii="Times New Roman" w:hAnsi="Times New Roman" w:cs="Times New Roman"/>
          <w:sz w:val="24"/>
          <w:szCs w:val="24"/>
        </w:rPr>
      </w:pPr>
    </w:p>
    <w:p w14:paraId="3171AA65" w14:textId="77777777" w:rsidR="00D829B1" w:rsidRDefault="00D829B1" w:rsidP="00D829B1">
      <w:pPr>
        <w:pStyle w:val="Rodap"/>
        <w:ind w:firstLine="34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70A2BAA2" w14:textId="77777777" w:rsidR="00D829B1" w:rsidRDefault="00D829B1" w:rsidP="00D829B1">
      <w:pPr>
        <w:ind w:left="362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Prefeito Municipal</w:t>
      </w:r>
    </w:p>
    <w:p w14:paraId="73797621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5B5B286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768E6CC2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9D9B404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D168BA"/>
    <w:rsid w:val="00D829B1"/>
    <w:rsid w:val="00F071AE"/>
    <w:rsid w:val="00F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376C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D829B1"/>
    <w:pPr>
      <w:tabs>
        <w:tab w:val="center" w:pos="4252"/>
        <w:tab w:val="right" w:pos="8504"/>
      </w:tabs>
      <w:suppressAutoHyphens/>
    </w:pPr>
    <w:rPr>
      <w:rFonts w:ascii="Calibri" w:eastAsia="Calibri" w:hAnsi="Calibri" w:cs="Calibri"/>
      <w:lang w:eastAsia="zh-CN"/>
    </w:rPr>
  </w:style>
  <w:style w:type="character" w:customStyle="1" w:styleId="RodapChar">
    <w:name w:val="Rodapé Char"/>
    <w:basedOn w:val="Fontepargpadro"/>
    <w:link w:val="Rodap"/>
    <w:semiHidden/>
    <w:rsid w:val="00D829B1"/>
    <w:rPr>
      <w:rFonts w:ascii="Calibri" w:eastAsia="Calibri" w:hAnsi="Calibri" w:cs="Calibri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D829B1"/>
    <w:pPr>
      <w:suppressAutoHyphens/>
      <w:spacing w:after="140" w:line="276" w:lineRule="auto"/>
    </w:pPr>
    <w:rPr>
      <w:rFonts w:ascii="Calibri" w:eastAsia="Calibri" w:hAnsi="Calibri" w:cs="Calibri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829B1"/>
    <w:rPr>
      <w:rFonts w:ascii="Calibri" w:eastAsia="Calibri" w:hAnsi="Calibri" w:cs="Calibri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D829B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829B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D829B1"/>
    <w:pPr>
      <w:widowControl w:val="0"/>
      <w:suppressAutoHyphens/>
      <w:ind w:left="567" w:right="51"/>
      <w:jc w:val="both"/>
    </w:pPr>
    <w:rPr>
      <w:rFonts w:ascii="Times New Roman" w:eastAsia="Times New Roman" w:hAnsi="Times New Roman" w:cs="Times New Roman"/>
      <w:i/>
      <w:color w:val="00000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3390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6</cp:revision>
  <dcterms:created xsi:type="dcterms:W3CDTF">2019-08-27T11:28:00Z</dcterms:created>
  <dcterms:modified xsi:type="dcterms:W3CDTF">2021-05-14T13:48:00Z</dcterms:modified>
</cp:coreProperties>
</file>