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B53920" w:rsidRDefault="00D5737A">
      <w:pPr>
        <w:spacing w:line="36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B53920">
        <w:rPr>
          <w:rFonts w:asciiTheme="minorHAnsi" w:eastAsia="Arial" w:hAnsiTheme="minorHAnsi" w:cstheme="minorHAnsi"/>
          <w:b/>
          <w:sz w:val="32"/>
          <w:szCs w:val="32"/>
        </w:rPr>
        <w:t>PARECER DA</w:t>
      </w:r>
      <w:r w:rsidR="00453A1D" w:rsidRPr="00B53920">
        <w:rPr>
          <w:rFonts w:asciiTheme="minorHAnsi" w:eastAsia="Arial" w:hAnsiTheme="minorHAnsi" w:cstheme="minorHAnsi"/>
          <w:b/>
          <w:sz w:val="32"/>
          <w:szCs w:val="32"/>
        </w:rPr>
        <w:t xml:space="preserve"> COMISSÃO</w:t>
      </w:r>
      <w:r w:rsidRPr="00B53920">
        <w:rPr>
          <w:rFonts w:asciiTheme="minorHAnsi" w:eastAsia="Arial" w:hAnsiTheme="minorHAnsi" w:cstheme="minorHAnsi"/>
          <w:b/>
          <w:sz w:val="32"/>
          <w:szCs w:val="32"/>
        </w:rPr>
        <w:t xml:space="preserve"> DE JUSTIÇA E REDAÇÃO</w:t>
      </w:r>
      <w:r w:rsidR="00453A1D" w:rsidRPr="00B53920">
        <w:rPr>
          <w:rFonts w:asciiTheme="minorHAnsi" w:eastAsia="Arial" w:hAnsiTheme="minorHAnsi" w:cstheme="minorHAnsi"/>
          <w:b/>
          <w:sz w:val="32"/>
          <w:szCs w:val="32"/>
        </w:rPr>
        <w:t>.</w:t>
      </w:r>
    </w:p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8B0593" w:rsidRDefault="00453A1D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Arial" w:hAnsi="Lucida Sans Unicode" w:cs="Lucida Sans Unicode"/>
          <w:b/>
          <w:sz w:val="24"/>
          <w:szCs w:val="24"/>
        </w:rPr>
        <w:t xml:space="preserve">Parecer n.º </w:t>
      </w:r>
      <w:r w:rsidR="00B53920" w:rsidRPr="008B0593">
        <w:rPr>
          <w:rFonts w:ascii="Lucida Sans Unicode" w:eastAsia="Arial" w:hAnsi="Lucida Sans Unicode" w:cs="Lucida Sans Unicode"/>
          <w:b/>
          <w:sz w:val="24"/>
          <w:szCs w:val="24"/>
        </w:rPr>
        <w:t>23</w:t>
      </w:r>
    </w:p>
    <w:p w:rsidR="00F20801" w:rsidRPr="008B0593" w:rsidRDefault="00B53920">
      <w:pPr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Arial" w:hAnsi="Lucida Sans Unicode" w:cs="Lucida Sans Unicode"/>
          <w:b/>
          <w:sz w:val="24"/>
          <w:szCs w:val="24"/>
        </w:rPr>
        <w:t>Projeto de Lei n.º 017</w:t>
      </w:r>
      <w:r w:rsidR="00D5737A" w:rsidRPr="008B0593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2.021</w:t>
      </w:r>
    </w:p>
    <w:p w:rsidR="008376B6" w:rsidRPr="0098640A" w:rsidRDefault="008376B6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8B0593" w:rsidRDefault="00453A1D" w:rsidP="00453A1D">
      <w:pPr>
        <w:ind w:left="4253"/>
        <w:jc w:val="both"/>
        <w:rPr>
          <w:rFonts w:ascii="Lucida Sans Unicode" w:hAnsi="Lucida Sans Unicode" w:cs="Lucida Sans Unicode"/>
          <w:b/>
          <w:sz w:val="28"/>
          <w:szCs w:val="28"/>
        </w:rPr>
      </w:pPr>
      <w:r w:rsidRPr="008B0593">
        <w:rPr>
          <w:rFonts w:ascii="Lucida Sans Unicode" w:hAnsi="Lucida Sans Unicode" w:cs="Lucida Sans Unicode"/>
          <w:b/>
          <w:sz w:val="28"/>
          <w:szCs w:val="28"/>
        </w:rPr>
        <w:t>“</w:t>
      </w:r>
      <w:proofErr w:type="gramStart"/>
      <w:r w:rsidRPr="008B0593">
        <w:rPr>
          <w:rFonts w:ascii="Lucida Sans Unicode" w:hAnsi="Lucida Sans Unicode" w:cs="Lucida Sans Unicode"/>
          <w:b/>
          <w:sz w:val="28"/>
          <w:szCs w:val="28"/>
        </w:rPr>
        <w:t>dispõe</w:t>
      </w:r>
      <w:proofErr w:type="gramEnd"/>
      <w:r w:rsidRPr="008B0593">
        <w:rPr>
          <w:rFonts w:ascii="Lucida Sans Unicode" w:hAnsi="Lucida Sans Unicode" w:cs="Lucida Sans Unicode"/>
          <w:b/>
          <w:sz w:val="28"/>
          <w:szCs w:val="28"/>
        </w:rPr>
        <w:t xml:space="preserve"> sobre a </w:t>
      </w:r>
      <w:r w:rsidR="00B53920" w:rsidRPr="008B0593">
        <w:rPr>
          <w:rFonts w:ascii="Lucida Sans Unicode" w:hAnsi="Lucida Sans Unicode" w:cs="Lucida Sans Unicode"/>
          <w:b/>
          <w:sz w:val="28"/>
          <w:szCs w:val="28"/>
        </w:rPr>
        <w:t>celebração de parcerias e patrocínios do setor privado a eventos, projetos e torneios públicos Municipais</w:t>
      </w:r>
      <w:r w:rsidRPr="008B0593">
        <w:rPr>
          <w:rFonts w:ascii="Lucida Sans Unicode" w:hAnsi="Lucida Sans Unicode" w:cs="Lucida Sans Unicode"/>
          <w:b/>
          <w:sz w:val="28"/>
          <w:szCs w:val="28"/>
        </w:rPr>
        <w:t xml:space="preserve"> e dá outras providências</w:t>
      </w:r>
      <w:r w:rsidR="008376B6" w:rsidRPr="008B0593">
        <w:rPr>
          <w:rFonts w:ascii="Lucida Sans Unicode" w:eastAsia="Arial" w:hAnsi="Lucida Sans Unicode" w:cs="Lucida Sans Unicode"/>
          <w:b/>
          <w:sz w:val="28"/>
          <w:szCs w:val="28"/>
        </w:rPr>
        <w:t>.”</w:t>
      </w:r>
    </w:p>
    <w:p w:rsidR="00F20801" w:rsidRPr="00453A1D" w:rsidRDefault="00F20801" w:rsidP="00453A1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  <w:t>Conforme determina o artigo 35 da Resolução n.º 276 de 09 de novembro de 2.010, a</w:t>
      </w:r>
      <w:r w:rsidR="00F509BA" w:rsidRPr="008B0593">
        <w:rPr>
          <w:rFonts w:ascii="Lucida Sans Unicode" w:eastAsia="Calibri" w:hAnsi="Lucida Sans Unicode" w:cs="Lucida Sans Unicode"/>
          <w:sz w:val="24"/>
          <w:szCs w:val="24"/>
        </w:rPr>
        <w:t>s</w:t>
      </w:r>
      <w:r w:rsidR="009F5509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Comissão de Justiça e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Redação</w:t>
      </w:r>
      <w:r w:rsidR="00453A1D" w:rsidRPr="008B0593">
        <w:rPr>
          <w:rFonts w:ascii="Lucida Sans Unicode" w:eastAsia="Calibri" w:hAnsi="Lucida Sans Unicode" w:cs="Lucida Sans Unicode"/>
          <w:sz w:val="24"/>
          <w:szCs w:val="24"/>
        </w:rPr>
        <w:t>, apresenta</w:t>
      </w:r>
      <w:r w:rsidR="00293808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o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presente </w:t>
      </w: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PARECER</w:t>
      </w:r>
      <w:r w:rsidR="00E11E8A" w:rsidRPr="008B0593">
        <w:rPr>
          <w:rFonts w:ascii="Lucida Sans Unicode" w:eastAsia="Calibri" w:hAnsi="Lucida Sans Unicode" w:cs="Lucida Sans Unicode"/>
          <w:sz w:val="24"/>
          <w:szCs w:val="24"/>
        </w:rPr>
        <w:t>,</w:t>
      </w:r>
      <w:r w:rsidR="00453A1D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com </w:t>
      </w:r>
      <w:r w:rsidR="00E11E8A" w:rsidRPr="008B0593">
        <w:rPr>
          <w:rFonts w:ascii="Lucida Sans Unicode" w:eastAsia="Calibri" w:hAnsi="Lucida Sans Unicode" w:cs="Lucida Sans Unicode"/>
          <w:sz w:val="24"/>
          <w:szCs w:val="24"/>
        </w:rPr>
        <w:t>consoante</w:t>
      </w:r>
      <w:r w:rsidR="00871537" w:rsidRPr="008B0593">
        <w:rPr>
          <w:rFonts w:ascii="Lucida Sans Unicode" w:eastAsia="Calibri" w:hAnsi="Lucida Sans Unicode" w:cs="Lucida Sans Unicode"/>
          <w:sz w:val="24"/>
          <w:szCs w:val="24"/>
        </w:rPr>
        <w:t>s</w:t>
      </w:r>
      <w:r w:rsidR="00E11E8A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>motivos de fato e de direito a seguir expostos:</w:t>
      </w:r>
    </w:p>
    <w:p w:rsidR="00F20801" w:rsidRPr="008B0593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I. Exposição da Matéria</w:t>
      </w:r>
    </w:p>
    <w:p w:rsidR="00F20801" w:rsidRPr="008B0593" w:rsidRDefault="00F20801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93808" w:rsidRPr="008B0593" w:rsidRDefault="00D5737A" w:rsidP="00DC74C3">
      <w:pPr>
        <w:spacing w:line="360" w:lineRule="auto"/>
        <w:ind w:firstLine="720"/>
        <w:jc w:val="both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O </w:t>
      </w:r>
      <w:r w:rsidR="005B271D" w:rsidRPr="008B0593">
        <w:rPr>
          <w:rFonts w:ascii="Lucida Sans Unicode" w:eastAsia="Calibri" w:hAnsi="Lucida Sans Unicode" w:cs="Lucida Sans Unicode"/>
          <w:sz w:val="24"/>
          <w:szCs w:val="24"/>
        </w:rPr>
        <w:t>Projeto de Lei n°</w:t>
      </w:r>
      <w:r w:rsidR="00B53920" w:rsidRPr="008B0593">
        <w:rPr>
          <w:rFonts w:ascii="Lucida Sans Unicode" w:eastAsia="Calibri" w:hAnsi="Lucida Sans Unicode" w:cs="Lucida Sans Unicode"/>
          <w:sz w:val="24"/>
          <w:szCs w:val="24"/>
        </w:rPr>
        <w:t>17</w:t>
      </w:r>
      <w:r w:rsidR="00957A05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/21 é de autoria do </w:t>
      </w:r>
      <w:r w:rsidR="00B53920" w:rsidRPr="008B0593">
        <w:rPr>
          <w:rFonts w:ascii="Lucida Sans Unicode" w:eastAsia="Calibri" w:hAnsi="Lucida Sans Unicode" w:cs="Lucida Sans Unicode"/>
          <w:sz w:val="24"/>
          <w:szCs w:val="24"/>
        </w:rPr>
        <w:t>nobre Vereador João Victor Gasparini</w:t>
      </w:r>
      <w:r w:rsidR="00957A05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, </w:t>
      </w:r>
      <w:r w:rsidR="00293808" w:rsidRPr="008B0593">
        <w:rPr>
          <w:rFonts w:ascii="Lucida Sans Unicode" w:eastAsia="Calibri" w:hAnsi="Lucida Sans Unicode" w:cs="Lucida Sans Unicode"/>
          <w:sz w:val="24"/>
          <w:szCs w:val="24"/>
        </w:rPr>
        <w:t>“</w:t>
      </w:r>
      <w:r w:rsidR="00293808" w:rsidRPr="008B0593">
        <w:rPr>
          <w:rFonts w:ascii="Lucida Sans Unicode" w:eastAsia="Arial" w:hAnsi="Lucida Sans Unicode" w:cs="Lucida Sans Unicode"/>
          <w:b/>
          <w:sz w:val="24"/>
          <w:szCs w:val="24"/>
        </w:rPr>
        <w:t>dispõe sob</w:t>
      </w:r>
      <w:r w:rsidR="00453A1D" w:rsidRPr="008B0593">
        <w:rPr>
          <w:rFonts w:ascii="Lucida Sans Unicode" w:eastAsia="Arial" w:hAnsi="Lucida Sans Unicode" w:cs="Lucida Sans Unicode"/>
          <w:b/>
          <w:sz w:val="24"/>
          <w:szCs w:val="24"/>
        </w:rPr>
        <w:t xml:space="preserve">re a </w:t>
      </w:r>
      <w:r w:rsidR="00B53920" w:rsidRPr="008B0593">
        <w:rPr>
          <w:rFonts w:ascii="Lucida Sans Unicode" w:eastAsia="Arial" w:hAnsi="Lucida Sans Unicode" w:cs="Lucida Sans Unicode"/>
          <w:b/>
          <w:sz w:val="24"/>
          <w:szCs w:val="24"/>
        </w:rPr>
        <w:t xml:space="preserve">celebração de parcerias e patrocínios do setor privado a eventos, projetos e torneios </w:t>
      </w:r>
      <w:proofErr w:type="gramStart"/>
      <w:r w:rsidR="00B53920" w:rsidRPr="008B0593">
        <w:rPr>
          <w:rFonts w:ascii="Lucida Sans Unicode" w:eastAsia="Arial" w:hAnsi="Lucida Sans Unicode" w:cs="Lucida Sans Unicode"/>
          <w:b/>
          <w:sz w:val="24"/>
          <w:szCs w:val="24"/>
        </w:rPr>
        <w:t>públicos  Municipais</w:t>
      </w:r>
      <w:proofErr w:type="gramEnd"/>
      <w:r w:rsidR="00453A1D" w:rsidRPr="008B0593">
        <w:rPr>
          <w:rFonts w:ascii="Lucida Sans Unicode" w:eastAsia="Arial" w:hAnsi="Lucida Sans Unicode" w:cs="Lucida Sans Unicode"/>
          <w:b/>
          <w:sz w:val="24"/>
          <w:szCs w:val="24"/>
        </w:rPr>
        <w:t xml:space="preserve"> e dá outras providências</w:t>
      </w:r>
      <w:r w:rsidR="00293808" w:rsidRPr="008B0593">
        <w:rPr>
          <w:rFonts w:ascii="Lucida Sans Unicode" w:eastAsia="Arial" w:hAnsi="Lucida Sans Unicode" w:cs="Lucida Sans Unicode"/>
          <w:b/>
          <w:sz w:val="24"/>
          <w:szCs w:val="24"/>
        </w:rPr>
        <w:t>.”</w:t>
      </w:r>
    </w:p>
    <w:p w:rsidR="00F20801" w:rsidRPr="008B0593" w:rsidRDefault="00D5737A" w:rsidP="00293808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B53920" w:rsidRPr="008B0593" w:rsidRDefault="00293808" w:rsidP="00B53920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O Projeto em análise </w:t>
      </w:r>
      <w:r w:rsidR="00B53920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abre possibilidade </w:t>
      </w:r>
      <w:proofErr w:type="gramStart"/>
      <w:r w:rsidR="00B53920" w:rsidRPr="008B0593">
        <w:rPr>
          <w:rFonts w:ascii="Lucida Sans Unicode" w:eastAsia="Calibri" w:hAnsi="Lucida Sans Unicode" w:cs="Lucida Sans Unicode"/>
          <w:sz w:val="24"/>
          <w:szCs w:val="24"/>
        </w:rPr>
        <w:t>do</w:t>
      </w:r>
      <w:proofErr w:type="gramEnd"/>
      <w:r w:rsidR="00B53920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Município celebrar parcerias e receber patrocínios de empresas do Setor Privado a eventos, projetos e torneios públicos da municipalidade.</w:t>
      </w:r>
    </w:p>
    <w:p w:rsidR="008B0593" w:rsidRDefault="00B53920" w:rsidP="00B53920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O Legislador na sua Justificativa elenca as dificuldades enfrentadas pelas </w:t>
      </w:r>
      <w:proofErr w:type="gramStart"/>
      <w:r w:rsidRPr="008B0593">
        <w:rPr>
          <w:rFonts w:ascii="Lucida Sans Unicode" w:eastAsia="Calibri" w:hAnsi="Lucida Sans Unicode" w:cs="Lucida Sans Unicode"/>
          <w:sz w:val="24"/>
          <w:szCs w:val="24"/>
        </w:rPr>
        <w:t>áreas</w:t>
      </w:r>
      <w:proofErr w:type="gramEnd"/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de Cultura, Esporte, Turismo e Lazer em </w:t>
      </w:r>
      <w:r w:rsidR="00F3420D" w:rsidRPr="008B0593">
        <w:rPr>
          <w:rFonts w:ascii="Lucida Sans Unicode" w:eastAsia="Calibri" w:hAnsi="Lucida Sans Unicode" w:cs="Lucida Sans Unicode"/>
          <w:sz w:val="24"/>
          <w:szCs w:val="24"/>
        </w:rPr>
        <w:t>propiciar aos Munícipes</w:t>
      </w:r>
      <w:r w:rsidR="008B0593">
        <w:rPr>
          <w:rFonts w:ascii="Lucida Sans Unicode" w:eastAsia="Calibri" w:hAnsi="Lucida Sans Unicode" w:cs="Lucida Sans Unicode"/>
          <w:sz w:val="24"/>
          <w:szCs w:val="24"/>
        </w:rPr>
        <w:t>,</w:t>
      </w:r>
      <w:r w:rsidR="00F3420D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acesso </w:t>
      </w:r>
    </w:p>
    <w:p w:rsidR="008B0593" w:rsidRDefault="008B0593" w:rsidP="00B53920">
      <w:pPr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4251FF" w:rsidRPr="008B0593" w:rsidRDefault="00F3420D" w:rsidP="008B0593">
      <w:pPr>
        <w:jc w:val="both"/>
        <w:rPr>
          <w:rFonts w:ascii="Lucida Sans Unicode" w:eastAsia="Calibri" w:hAnsi="Lucida Sans Unicode" w:cs="Lucida Sans Unicode"/>
          <w:sz w:val="24"/>
          <w:szCs w:val="24"/>
        </w:rPr>
      </w:pPr>
      <w:proofErr w:type="gramStart"/>
      <w:r w:rsidRPr="008B0593">
        <w:rPr>
          <w:rFonts w:ascii="Lucida Sans Unicode" w:eastAsia="Calibri" w:hAnsi="Lucida Sans Unicode" w:cs="Lucida Sans Unicode"/>
          <w:sz w:val="24"/>
          <w:szCs w:val="24"/>
        </w:rPr>
        <w:t>a</w:t>
      </w:r>
      <w:proofErr w:type="gramEnd"/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eventos que podem ser feitos e custeados em parte ou em sua totalidade por empresas dispostas a investir em tais eventos, recebendo como retorno a divulgação de sua marca pela divulgação de  materiais de propaganda de seus produtos, que podem ser expostos e divulgados durante o período que durar os possíveis eventos financiados através da aprovação desta Lei.</w:t>
      </w:r>
    </w:p>
    <w:p w:rsidR="00B53920" w:rsidRPr="008B0593" w:rsidRDefault="00F3420D" w:rsidP="00B53920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br/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293808" w:rsidRPr="008B0593" w:rsidRDefault="00293808" w:rsidP="009A5427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93808" w:rsidRPr="008B0593" w:rsidRDefault="00293808" w:rsidP="001655C7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AE6654" w:rsidRPr="008B0593" w:rsidRDefault="00AE6654" w:rsidP="00AE6654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II. Do mérito e conclusões do relator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111F9C" w:rsidRPr="008B0593" w:rsidRDefault="00111F9C" w:rsidP="0098640A">
      <w:pPr>
        <w:spacing w:line="276" w:lineRule="auto"/>
        <w:ind w:firstLine="709"/>
        <w:rPr>
          <w:rFonts w:ascii="Lucida Sans Unicode" w:eastAsia="Calibri" w:hAnsi="Lucida Sans Unicode" w:cs="Lucida Sans Unicode"/>
          <w:sz w:val="24"/>
          <w:szCs w:val="24"/>
        </w:rPr>
      </w:pPr>
    </w:p>
    <w:p w:rsidR="00DC74C3" w:rsidRPr="008B0593" w:rsidRDefault="004251FF" w:rsidP="008B0593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 xml:space="preserve">Em estudo sobre o conteúdo do Projeto em tela, a Comissão de Justiça e Redação valeu-se de consulta </w:t>
      </w:r>
      <w:r w:rsidR="00E1323D" w:rsidRPr="008B0593">
        <w:rPr>
          <w:rFonts w:ascii="Lucida Sans Unicode" w:hAnsi="Lucida Sans Unicode" w:cs="Lucida Sans Unicode"/>
          <w:sz w:val="24"/>
          <w:szCs w:val="24"/>
        </w:rPr>
        <w:t xml:space="preserve">à empresa SGP </w:t>
      </w:r>
      <w:r w:rsidR="00154CD0" w:rsidRPr="008B0593">
        <w:rPr>
          <w:rFonts w:ascii="Lucida Sans Unicode" w:hAnsi="Lucida Sans Unicode" w:cs="Lucida Sans Unicode"/>
          <w:sz w:val="24"/>
          <w:szCs w:val="24"/>
        </w:rPr>
        <w:t>–</w:t>
      </w:r>
      <w:r w:rsidR="00E1323D" w:rsidRPr="008B0593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154CD0" w:rsidRPr="008B0593">
        <w:rPr>
          <w:rFonts w:ascii="Lucida Sans Unicode" w:hAnsi="Lucida Sans Unicode" w:cs="Lucida Sans Unicode"/>
          <w:sz w:val="24"/>
          <w:szCs w:val="24"/>
        </w:rPr>
        <w:t>Soluções em Gestão Pública,</w:t>
      </w:r>
      <w:r w:rsidRPr="008B0593">
        <w:rPr>
          <w:rFonts w:ascii="Lucida Sans Unicode" w:hAnsi="Lucida Sans Unicode" w:cs="Lucida Sans Unicode"/>
          <w:sz w:val="24"/>
          <w:szCs w:val="24"/>
        </w:rPr>
        <w:t xml:space="preserve"> órgão contratado pela Casa de Leis, para análise do Projeto </w:t>
      </w:r>
      <w:proofErr w:type="spellStart"/>
      <w:r w:rsidRPr="008B0593">
        <w:rPr>
          <w:rFonts w:ascii="Lucida Sans Unicode" w:hAnsi="Lucida Sans Unicode" w:cs="Lucida Sans Unicode"/>
          <w:sz w:val="24"/>
          <w:szCs w:val="24"/>
        </w:rPr>
        <w:t>nr</w:t>
      </w:r>
      <w:proofErr w:type="spellEnd"/>
      <w:r w:rsidRPr="008B0593">
        <w:rPr>
          <w:rFonts w:ascii="Lucida Sans Unicode" w:hAnsi="Lucida Sans Unicode" w:cs="Lucida Sans Unicode"/>
          <w:sz w:val="24"/>
          <w:szCs w:val="24"/>
        </w:rPr>
        <w:t xml:space="preserve"> 17/2021, por meio da CONSULTA/0087/2021/LM/</w:t>
      </w:r>
      <w:proofErr w:type="gramStart"/>
      <w:r w:rsidRPr="008B0593">
        <w:rPr>
          <w:rFonts w:ascii="Lucida Sans Unicode" w:hAnsi="Lucida Sans Unicode" w:cs="Lucida Sans Unicode"/>
          <w:sz w:val="24"/>
          <w:szCs w:val="24"/>
        </w:rPr>
        <w:t>G,  elaborada</w:t>
      </w:r>
      <w:proofErr w:type="gramEnd"/>
      <w:r w:rsidRPr="008B0593">
        <w:rPr>
          <w:rFonts w:ascii="Lucida Sans Unicode" w:hAnsi="Lucida Sans Unicode" w:cs="Lucida Sans Unicode"/>
          <w:sz w:val="24"/>
          <w:szCs w:val="24"/>
        </w:rPr>
        <w:t xml:space="preserve"> pelo consultor jurídico Dr. Leonardo </w:t>
      </w:r>
      <w:proofErr w:type="spellStart"/>
      <w:r w:rsidRPr="008B0593">
        <w:rPr>
          <w:rFonts w:ascii="Lucida Sans Unicode" w:hAnsi="Lucida Sans Unicode" w:cs="Lucida Sans Unicode"/>
          <w:sz w:val="24"/>
          <w:szCs w:val="24"/>
        </w:rPr>
        <w:t>Meller</w:t>
      </w:r>
      <w:proofErr w:type="spellEnd"/>
      <w:r w:rsidRPr="008B0593">
        <w:rPr>
          <w:rFonts w:ascii="Lucida Sans Unicode" w:hAnsi="Lucida Sans Unicode" w:cs="Lucida Sans Unicode"/>
          <w:sz w:val="24"/>
          <w:szCs w:val="24"/>
        </w:rPr>
        <w:t xml:space="preserve">-OAB/SP </w:t>
      </w:r>
      <w:proofErr w:type="spellStart"/>
      <w:r w:rsidRPr="008B0593">
        <w:rPr>
          <w:rFonts w:ascii="Lucida Sans Unicode" w:hAnsi="Lucida Sans Unicode" w:cs="Lucida Sans Unicode"/>
          <w:sz w:val="24"/>
          <w:szCs w:val="24"/>
        </w:rPr>
        <w:t>Nr</w:t>
      </w:r>
      <w:proofErr w:type="spellEnd"/>
      <w:r w:rsidRPr="008B0593">
        <w:rPr>
          <w:rFonts w:ascii="Lucida Sans Unicode" w:hAnsi="Lucida Sans Unicode" w:cs="Lucida Sans Unicode"/>
          <w:sz w:val="24"/>
          <w:szCs w:val="24"/>
        </w:rPr>
        <w:t xml:space="preserve">. 203.689, aprovada pelo Diretor Jurídico Dr. Gilberto Bernardino de Oliveira Filho- OAB/SP </w:t>
      </w:r>
      <w:proofErr w:type="spellStart"/>
      <w:r w:rsidRPr="008B0593">
        <w:rPr>
          <w:rFonts w:ascii="Lucida Sans Unicode" w:hAnsi="Lucida Sans Unicode" w:cs="Lucida Sans Unicode"/>
          <w:sz w:val="24"/>
          <w:szCs w:val="24"/>
        </w:rPr>
        <w:t>Nr</w:t>
      </w:r>
      <w:proofErr w:type="spellEnd"/>
      <w:r w:rsidRPr="008B0593">
        <w:rPr>
          <w:rFonts w:ascii="Lucida Sans Unicode" w:hAnsi="Lucida Sans Unicode" w:cs="Lucida Sans Unicode"/>
          <w:sz w:val="24"/>
          <w:szCs w:val="24"/>
        </w:rPr>
        <w:t xml:space="preserve">. 151.849, datada de 26 de </w:t>
      </w:r>
      <w:proofErr w:type="gramStart"/>
      <w:r w:rsidRPr="008B0593">
        <w:rPr>
          <w:rFonts w:ascii="Lucida Sans Unicode" w:hAnsi="Lucida Sans Unicode" w:cs="Lucida Sans Unicode"/>
          <w:sz w:val="24"/>
          <w:szCs w:val="24"/>
        </w:rPr>
        <w:t>Fevereiro</w:t>
      </w:r>
      <w:proofErr w:type="gramEnd"/>
      <w:r w:rsidRPr="008B0593">
        <w:rPr>
          <w:rFonts w:ascii="Lucida Sans Unicode" w:hAnsi="Lucida Sans Unicode" w:cs="Lucida Sans Unicode"/>
          <w:sz w:val="24"/>
          <w:szCs w:val="24"/>
        </w:rPr>
        <w:t xml:space="preserve"> de 2021, que aponta não haver qualquer óbice oponível à propositura, na medida que a mesma recebe respaldo no interesse local, previsto no Art. 30, inc. I, da Constituição Federal de 1988.</w:t>
      </w:r>
    </w:p>
    <w:p w:rsidR="004251FF" w:rsidRPr="008B0593" w:rsidRDefault="004251FF" w:rsidP="008B0593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 xml:space="preserve">O órgão consultado também cita </w:t>
      </w:r>
      <w:r w:rsidR="00E1323D" w:rsidRPr="008B0593">
        <w:rPr>
          <w:rFonts w:ascii="Lucida Sans Unicode" w:hAnsi="Lucida Sans Unicode" w:cs="Lucida Sans Unicode"/>
          <w:sz w:val="24"/>
          <w:szCs w:val="24"/>
        </w:rPr>
        <w:t xml:space="preserve">que o Poder Executivo Federal expressa disciplina sobre o patrocínio, nos termos de Instrução Normativa </w:t>
      </w:r>
      <w:proofErr w:type="spellStart"/>
      <w:r w:rsidR="00E1323D" w:rsidRPr="008B0593">
        <w:rPr>
          <w:rFonts w:ascii="Lucida Sans Unicode" w:hAnsi="Lucida Sans Unicode" w:cs="Lucida Sans Unicode"/>
          <w:sz w:val="24"/>
          <w:szCs w:val="24"/>
        </w:rPr>
        <w:t>nr</w:t>
      </w:r>
      <w:proofErr w:type="spellEnd"/>
      <w:r w:rsidR="00E1323D" w:rsidRPr="008B0593">
        <w:rPr>
          <w:rFonts w:ascii="Lucida Sans Unicode" w:hAnsi="Lucida Sans Unicode" w:cs="Lucida Sans Unicode"/>
          <w:sz w:val="24"/>
          <w:szCs w:val="24"/>
        </w:rPr>
        <w:t>. 2 de 23/12/2019, do Ministro de Estado Chefe da Secretaria d</w:t>
      </w:r>
      <w:r w:rsidR="00154CD0" w:rsidRPr="008B0593">
        <w:rPr>
          <w:rFonts w:ascii="Lucida Sans Unicode" w:hAnsi="Lucida Sans Unicode" w:cs="Lucida Sans Unicode"/>
          <w:sz w:val="24"/>
          <w:szCs w:val="24"/>
        </w:rPr>
        <w:t>e Governo da Presidência da Repú</w:t>
      </w:r>
      <w:r w:rsidR="00E1323D" w:rsidRPr="008B0593">
        <w:rPr>
          <w:rFonts w:ascii="Lucida Sans Unicode" w:hAnsi="Lucida Sans Unicode" w:cs="Lucida Sans Unicode"/>
          <w:sz w:val="24"/>
          <w:szCs w:val="24"/>
        </w:rPr>
        <w:t>blica, tendo por fundamento o art. 3º., Inc. IV, do Dec.nr 6.555/2008, que define o patrocínio como uma das ações de comunicação do Poder Executivo.</w:t>
      </w:r>
    </w:p>
    <w:p w:rsidR="00E1323D" w:rsidRPr="008B0593" w:rsidRDefault="00E1323D" w:rsidP="008B0593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Neste ponto esbarramos na premissa analisada pela Comissão que é a Legalidade da Propositura, uma vez que na análise feita pela Consulta</w:t>
      </w:r>
      <w:r w:rsidRPr="008B0593">
        <w:rPr>
          <w:rFonts w:ascii="Lucida Sans Unicode" w:hAnsi="Lucida Sans Unicode" w:cs="Lucida Sans Unicode"/>
          <w:sz w:val="24"/>
          <w:szCs w:val="24"/>
        </w:rPr>
        <w:t>/0087/2021/LM/G</w:t>
      </w:r>
      <w:r w:rsidRPr="008B0593">
        <w:rPr>
          <w:rFonts w:ascii="Lucida Sans Unicode" w:hAnsi="Lucida Sans Unicode" w:cs="Lucida Sans Unicode"/>
          <w:sz w:val="24"/>
          <w:szCs w:val="24"/>
        </w:rPr>
        <w:t xml:space="preserve">, </w:t>
      </w:r>
      <w:r w:rsidR="00154CD0" w:rsidRPr="008B0593">
        <w:rPr>
          <w:rFonts w:ascii="Lucida Sans Unicode" w:hAnsi="Lucida Sans Unicode" w:cs="Lucida Sans Unicode"/>
          <w:sz w:val="24"/>
          <w:szCs w:val="24"/>
        </w:rPr>
        <w:t xml:space="preserve">enfatiza que </w:t>
      </w:r>
      <w:r w:rsidRPr="008B0593">
        <w:rPr>
          <w:rFonts w:ascii="Lucida Sans Unicode" w:hAnsi="Lucida Sans Unicode" w:cs="Lucida Sans Unicode"/>
          <w:sz w:val="24"/>
          <w:szCs w:val="24"/>
        </w:rPr>
        <w:t xml:space="preserve">tal iniciativa é privativa do </w:t>
      </w:r>
      <w:r w:rsidR="00154CD0" w:rsidRPr="008B0593">
        <w:rPr>
          <w:rFonts w:ascii="Lucida Sans Unicode" w:hAnsi="Lucida Sans Unicode" w:cs="Lucida Sans Unicode"/>
          <w:sz w:val="24"/>
          <w:szCs w:val="24"/>
        </w:rPr>
        <w:t>Prefeito</w:t>
      </w:r>
      <w:r w:rsidRPr="008B0593">
        <w:rPr>
          <w:rFonts w:ascii="Lucida Sans Unicode" w:hAnsi="Lucida Sans Unicode" w:cs="Lucida Sans Unicode"/>
          <w:sz w:val="24"/>
          <w:szCs w:val="24"/>
        </w:rPr>
        <w:t xml:space="preserve">, pois os contratos de patrocínio são de sua competência e estão intrínsecos às atividades institucionais do Chefe do Poder Executivo Municipal. </w:t>
      </w:r>
    </w:p>
    <w:p w:rsidR="008B0593" w:rsidRDefault="008B0593" w:rsidP="008B0593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Ciente</w:t>
      </w:r>
      <w:r w:rsidR="00154CD0" w:rsidRPr="008B0593">
        <w:rPr>
          <w:rFonts w:ascii="Lucida Sans Unicode" w:hAnsi="Lucida Sans Unicode" w:cs="Lucida Sans Unicode"/>
          <w:sz w:val="24"/>
          <w:szCs w:val="24"/>
        </w:rPr>
        <w:t xml:space="preserve"> e de posse do teor </w:t>
      </w:r>
      <w:proofErr w:type="gramStart"/>
      <w:r w:rsidR="00154CD0" w:rsidRPr="008B0593">
        <w:rPr>
          <w:rFonts w:ascii="Lucida Sans Unicode" w:hAnsi="Lucida Sans Unicode" w:cs="Lucida Sans Unicode"/>
          <w:sz w:val="24"/>
          <w:szCs w:val="24"/>
        </w:rPr>
        <w:t>da informações passadas</w:t>
      </w:r>
      <w:proofErr w:type="gramEnd"/>
      <w:r w:rsidR="00154CD0" w:rsidRPr="008B0593">
        <w:rPr>
          <w:rFonts w:ascii="Lucida Sans Unicode" w:hAnsi="Lucida Sans Unicode" w:cs="Lucida Sans Unicode"/>
          <w:sz w:val="24"/>
          <w:szCs w:val="24"/>
        </w:rPr>
        <w:t xml:space="preserve"> pela Comissão de Justiça e Redação, que a mesma acordava aos pontos elencados pela empresa em seu parecer, o Legislador dentro de tempo hábil nos apresenta </w:t>
      </w:r>
    </w:p>
    <w:p w:rsidR="008B0593" w:rsidRDefault="008B0593" w:rsidP="00DC74C3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:rsidR="008B0593" w:rsidRDefault="008B0593" w:rsidP="00DC74C3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:rsidR="008B0593" w:rsidRDefault="00154CD0" w:rsidP="00DC74C3">
      <w:pPr>
        <w:jc w:val="both"/>
        <w:rPr>
          <w:rFonts w:ascii="Lucida Sans Unicode" w:hAnsi="Lucida Sans Unicode" w:cs="Lucida Sans Unicode"/>
          <w:sz w:val="24"/>
          <w:szCs w:val="24"/>
        </w:rPr>
      </w:pPr>
      <w:proofErr w:type="gramStart"/>
      <w:r w:rsidRPr="008B0593">
        <w:rPr>
          <w:rFonts w:ascii="Lucida Sans Unicode" w:hAnsi="Lucida Sans Unicode" w:cs="Lucida Sans Unicode"/>
          <w:sz w:val="24"/>
          <w:szCs w:val="24"/>
        </w:rPr>
        <w:t>as</w:t>
      </w:r>
      <w:proofErr w:type="gramEnd"/>
      <w:r w:rsidRPr="008B0593">
        <w:rPr>
          <w:rFonts w:ascii="Lucida Sans Unicode" w:hAnsi="Lucida Sans Unicode" w:cs="Lucida Sans Unicode"/>
          <w:sz w:val="24"/>
          <w:szCs w:val="24"/>
        </w:rPr>
        <w:t xml:space="preserve"> suas considerações e Justificativas, em defesa da continuidade de tramitação de seus projeto, que abaixo </w:t>
      </w:r>
      <w:r w:rsidR="008B0593">
        <w:rPr>
          <w:rFonts w:ascii="Lucida Sans Unicode" w:hAnsi="Lucida Sans Unicode" w:cs="Lucida Sans Unicode"/>
          <w:sz w:val="24"/>
          <w:szCs w:val="24"/>
        </w:rPr>
        <w:t>apresentamos</w:t>
      </w:r>
      <w:r w:rsidRPr="008B0593">
        <w:rPr>
          <w:rFonts w:ascii="Lucida Sans Unicode" w:hAnsi="Lucida Sans Unicode" w:cs="Lucida Sans Unicode"/>
          <w:sz w:val="24"/>
          <w:szCs w:val="24"/>
        </w:rPr>
        <w:t>:</w:t>
      </w:r>
    </w:p>
    <w:p w:rsidR="00154CD0" w:rsidRPr="008B0593" w:rsidRDefault="00154CD0" w:rsidP="00DC74C3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“</w:t>
      </w:r>
      <w:r w:rsidRPr="008B0593">
        <w:rPr>
          <w:rFonts w:ascii="Lucida Sans Unicode" w:hAnsi="Lucida Sans Unicode" w:cs="Lucida Sans Unicode"/>
          <w:sz w:val="24"/>
          <w:szCs w:val="24"/>
        </w:rPr>
        <w:t>Apresento as justificativas inerentes ao P</w:t>
      </w:r>
      <w:r w:rsidR="00BB57CC">
        <w:rPr>
          <w:rFonts w:ascii="Lucida Sans Unicode" w:hAnsi="Lucida Sans Unicode" w:cs="Lucida Sans Unicode"/>
          <w:sz w:val="24"/>
          <w:szCs w:val="24"/>
        </w:rPr>
        <w:t xml:space="preserve">rojeto de </w:t>
      </w:r>
      <w:r w:rsidRPr="008B0593">
        <w:rPr>
          <w:rFonts w:ascii="Lucida Sans Unicode" w:hAnsi="Lucida Sans Unicode" w:cs="Lucida Sans Unicode"/>
          <w:sz w:val="24"/>
          <w:szCs w:val="24"/>
        </w:rPr>
        <w:t>L</w:t>
      </w:r>
      <w:r w:rsidR="00BB57CC">
        <w:rPr>
          <w:rFonts w:ascii="Lucida Sans Unicode" w:hAnsi="Lucida Sans Unicode" w:cs="Lucida Sans Unicode"/>
          <w:sz w:val="24"/>
          <w:szCs w:val="24"/>
        </w:rPr>
        <w:t xml:space="preserve">ei </w:t>
      </w:r>
      <w:proofErr w:type="spellStart"/>
      <w:r w:rsidR="00BB57CC">
        <w:rPr>
          <w:rFonts w:ascii="Lucida Sans Unicode" w:hAnsi="Lucida Sans Unicode" w:cs="Lucida Sans Unicode"/>
          <w:sz w:val="24"/>
          <w:szCs w:val="24"/>
        </w:rPr>
        <w:t>nr</w:t>
      </w:r>
      <w:proofErr w:type="spellEnd"/>
      <w:r w:rsidR="00BB57CC">
        <w:rPr>
          <w:rFonts w:ascii="Lucida Sans Unicode" w:hAnsi="Lucida Sans Unicode" w:cs="Lucida Sans Unicode"/>
          <w:sz w:val="24"/>
          <w:szCs w:val="24"/>
        </w:rPr>
        <w:t xml:space="preserve">. 17 </w:t>
      </w:r>
      <w:r w:rsidRPr="008B0593">
        <w:rPr>
          <w:rFonts w:ascii="Lucida Sans Unicode" w:hAnsi="Lucida Sans Unicode" w:cs="Lucida Sans Unicode"/>
          <w:sz w:val="24"/>
          <w:szCs w:val="24"/>
        </w:rPr>
        <w:t>que trata do patrocínio à eventos públicos: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 xml:space="preserve">Aduz o parecer exarado pela SGP – Soluções em Gestão Pública que o presente Projeto de Lei </w:t>
      </w:r>
      <w:proofErr w:type="gramStart"/>
      <w:r w:rsidRPr="008B0593">
        <w:rPr>
          <w:rFonts w:ascii="Lucida Sans Unicode" w:hAnsi="Lucida Sans Unicode" w:cs="Lucida Sans Unicode"/>
          <w:sz w:val="24"/>
          <w:szCs w:val="24"/>
        </w:rPr>
        <w:t>encontra-se</w:t>
      </w:r>
      <w:proofErr w:type="gramEnd"/>
      <w:r w:rsidRPr="008B0593">
        <w:rPr>
          <w:rFonts w:ascii="Lucida Sans Unicode" w:hAnsi="Lucida Sans Unicode" w:cs="Lucida Sans Unicode"/>
          <w:sz w:val="24"/>
          <w:szCs w:val="24"/>
        </w:rPr>
        <w:t xml:space="preserve"> constitucionalmente válido por se tratar de assunto de interesse local, cabendo ao Município regulamentar acerca dos contratos de patrocínio.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Ocorre, na mesma consulta, destacou haver vício de iniciativa por se tratar de matéria privativa ao Executivo Municipal.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Em que pese a exposição de motivos trazidas pelo órgão consultor, cabe no momento expor discordância aos argumentos apresentados para inconstitucionalidade do Projeto em análise.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Ao contrário do afirmado, o projeto de lei em momento algum obriga, determina ou regulamenta o recebimento do patrocínio para os eventos públicos, apenas institui referida possibilidade.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Hoje, é sabida a grande dificuldade que o Poder Público possui para realização de eventos, considerando a falta de doação orçamentária, o que, indiretamente, acaba acarretando na não realização de diversos programas culturais e esportivos na cidade.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 xml:space="preserve">Muitos desses eventos detêm o condão de atrair investimentos privados que viabilizariam a realização sem qualquer ônus para o Município, mas que, por falta de expressa disposição legal, estão impossibilitados de prestar tal auxilio. 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Importante neste sentido destacar que o projeto de lei não prevê a possibilidade de o município patrocinar eventos privados, mas sim o contrário. Assim, não haverá ônus para o Poder Público, mas sim economia do erário.</w:t>
      </w:r>
    </w:p>
    <w:p w:rsidR="00154CD0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Desta forma, ao contrário do afirmado, não existe invasão de competência do Poder Legislativo, posto que o Projeto apenas prevê a possibilidade de o Município receber o patrocínio de empresas privadas, permissão que coaduna com o interesse público e princípio da economicidade.</w:t>
      </w:r>
    </w:p>
    <w:p w:rsidR="00BB57CC" w:rsidRDefault="00BB57CC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BB57CC" w:rsidRPr="008B0593" w:rsidRDefault="00BB57CC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Não há obrigatoriedade em firmar o contrato de patrocínio ou qualquer ônus para o Poder Público através da aprovação da medida legislativa, apenas previsão de possibilidade de recebimento do patrocínio caso haja interesse da Administração Municipal.</w:t>
      </w:r>
    </w:p>
    <w:p w:rsidR="00154CD0" w:rsidRPr="008B0593" w:rsidRDefault="00154CD0" w:rsidP="00BB57CC">
      <w:pPr>
        <w:ind w:firstLine="720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 xml:space="preserve">Vários Municípios contam com legislação específica neste sentido, tais como </w:t>
      </w:r>
      <w:proofErr w:type="spellStart"/>
      <w:r w:rsidRPr="008B0593">
        <w:rPr>
          <w:rFonts w:ascii="Lucida Sans Unicode" w:hAnsi="Lucida Sans Unicode" w:cs="Lucida Sans Unicode"/>
          <w:sz w:val="24"/>
          <w:szCs w:val="24"/>
        </w:rPr>
        <w:t>Tiête</w:t>
      </w:r>
      <w:proofErr w:type="spellEnd"/>
      <w:r w:rsidRPr="008B0593">
        <w:rPr>
          <w:rFonts w:ascii="Lucida Sans Unicode" w:hAnsi="Lucida Sans Unicode" w:cs="Lucida Sans Unicode"/>
          <w:sz w:val="24"/>
          <w:szCs w:val="24"/>
        </w:rPr>
        <w:t xml:space="preserve">, Jaguariúna, Santa Bárbara d´Oeste e Votuporanga, todos no Estado de São Paulo, demonstrando a importância da </w:t>
      </w:r>
      <w:proofErr w:type="gramStart"/>
      <w:r w:rsidRPr="008B0593">
        <w:rPr>
          <w:rFonts w:ascii="Lucida Sans Unicode" w:hAnsi="Lucida Sans Unicode" w:cs="Lucida Sans Unicode"/>
          <w:sz w:val="24"/>
          <w:szCs w:val="24"/>
        </w:rPr>
        <w:t>medida.</w:t>
      </w:r>
      <w:r w:rsidRPr="008B0593">
        <w:rPr>
          <w:rFonts w:ascii="Lucida Sans Unicode" w:hAnsi="Lucida Sans Unicode" w:cs="Lucida Sans Unicode"/>
          <w:sz w:val="24"/>
          <w:szCs w:val="24"/>
        </w:rPr>
        <w:t>”</w:t>
      </w:r>
      <w:proofErr w:type="gramEnd"/>
    </w:p>
    <w:p w:rsidR="00154CD0" w:rsidRPr="008B0593" w:rsidRDefault="00154CD0" w:rsidP="00DC74C3">
      <w:pPr>
        <w:jc w:val="both"/>
        <w:rPr>
          <w:rFonts w:ascii="Lucida Sans Unicode" w:hAnsi="Lucida Sans Unicode" w:cs="Lucida Sans Unicode"/>
          <w:sz w:val="24"/>
          <w:szCs w:val="24"/>
        </w:rPr>
      </w:pPr>
    </w:p>
    <w:p w:rsidR="00F20801" w:rsidRPr="008B0593" w:rsidRDefault="00F20801" w:rsidP="00CB4F89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>III. Substitutivos, Emendas ou subemendas ao Projeto</w:t>
      </w:r>
    </w:p>
    <w:p w:rsidR="00F20801" w:rsidRPr="008B0593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ab/>
        <w:t>A Comissão não propõe qualquer alteração ao Projeto de Lei sob análise.</w:t>
      </w:r>
    </w:p>
    <w:p w:rsidR="00F20801" w:rsidRPr="008B0593" w:rsidRDefault="00F20801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F20801" w:rsidRPr="008B0593" w:rsidRDefault="00D5737A">
      <w:pPr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</w:rPr>
        <w:t xml:space="preserve">IV. Decisão da Comissão </w:t>
      </w:r>
    </w:p>
    <w:p w:rsidR="00F20801" w:rsidRPr="008B0593" w:rsidRDefault="00F20801">
      <w:pPr>
        <w:rPr>
          <w:rFonts w:ascii="Lucida Sans Unicode" w:hAnsi="Lucida Sans Unicode" w:cs="Lucida Sans Unicode"/>
          <w:sz w:val="24"/>
          <w:szCs w:val="24"/>
        </w:rPr>
      </w:pPr>
    </w:p>
    <w:p w:rsidR="00DC74C3" w:rsidRPr="008B0593" w:rsidRDefault="00F97696" w:rsidP="00DC74C3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>A Comissão de Justiça e Redação tem se pautado na valorização do trabalho Legislativo, voltado para o desenvolvimento de nosso Município, sempre que o intuito das proposituras em análise atendam aos princípios legais que a ela compete</w:t>
      </w:r>
      <w:r w:rsidR="00BB57CC">
        <w:rPr>
          <w:rFonts w:ascii="Lucida Sans Unicode" w:hAnsi="Lucida Sans Unicode" w:cs="Lucida Sans Unicode"/>
          <w:sz w:val="24"/>
          <w:szCs w:val="24"/>
        </w:rPr>
        <w:t>,</w:t>
      </w:r>
      <w:r w:rsidRPr="008B0593">
        <w:rPr>
          <w:rFonts w:ascii="Lucida Sans Unicode" w:hAnsi="Lucida Sans Unicode" w:cs="Lucida Sans Unicode"/>
          <w:sz w:val="24"/>
          <w:szCs w:val="24"/>
        </w:rPr>
        <w:t xml:space="preserve"> em casos em que a Constitucionalidade das matérias é devidamente e claramente notória, tem buscado estudar as interpretações das Leis e dos Autores das proposituras, discutindo, escutando, orientando e trabalhando para que as proposituras em tela sejam adequadas</w:t>
      </w:r>
      <w:r w:rsidR="00BB57CC">
        <w:rPr>
          <w:rFonts w:ascii="Lucida Sans Unicode" w:hAnsi="Lucida Sans Unicode" w:cs="Lucida Sans Unicode"/>
          <w:sz w:val="24"/>
          <w:szCs w:val="24"/>
        </w:rPr>
        <w:t>,</w:t>
      </w:r>
      <w:r w:rsidRPr="008B0593">
        <w:rPr>
          <w:rFonts w:ascii="Lucida Sans Unicode" w:hAnsi="Lucida Sans Unicode" w:cs="Lucida Sans Unicode"/>
          <w:sz w:val="24"/>
          <w:szCs w:val="24"/>
        </w:rPr>
        <w:t xml:space="preserve"> para que possam continuar seu trâmite nas Comissões Permanentes dessa Casa de Leis.</w:t>
      </w:r>
    </w:p>
    <w:p w:rsidR="00F97696" w:rsidRPr="008B0593" w:rsidRDefault="00F97696" w:rsidP="00DC74C3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 xml:space="preserve">É o caso do Projeto de </w:t>
      </w:r>
      <w:proofErr w:type="spellStart"/>
      <w:r w:rsidRPr="008B0593">
        <w:rPr>
          <w:rFonts w:ascii="Lucida Sans Unicode" w:hAnsi="Lucida Sans Unicode" w:cs="Lucida Sans Unicode"/>
          <w:sz w:val="24"/>
          <w:szCs w:val="24"/>
        </w:rPr>
        <w:t>Nr</w:t>
      </w:r>
      <w:proofErr w:type="spellEnd"/>
      <w:r w:rsidRPr="008B0593">
        <w:rPr>
          <w:rFonts w:ascii="Lucida Sans Unicode" w:hAnsi="Lucida Sans Unicode" w:cs="Lucida Sans Unicode"/>
          <w:sz w:val="24"/>
          <w:szCs w:val="24"/>
        </w:rPr>
        <w:t xml:space="preserve">. 17, de Autoria do Vereador João Victor </w:t>
      </w:r>
      <w:r w:rsidR="0086223C" w:rsidRPr="008B0593">
        <w:rPr>
          <w:rFonts w:ascii="Lucida Sans Unicode" w:hAnsi="Lucida Sans Unicode" w:cs="Lucida Sans Unicode"/>
          <w:sz w:val="24"/>
          <w:szCs w:val="24"/>
        </w:rPr>
        <w:t>Gasparini</w:t>
      </w:r>
      <w:r w:rsidRPr="008B0593">
        <w:rPr>
          <w:rFonts w:ascii="Lucida Sans Unicode" w:hAnsi="Lucida Sans Unicode" w:cs="Lucida Sans Unicode"/>
          <w:sz w:val="24"/>
          <w:szCs w:val="24"/>
        </w:rPr>
        <w:t xml:space="preserve"> em análise</w:t>
      </w:r>
      <w:r w:rsidR="0086223C" w:rsidRPr="008B0593">
        <w:rPr>
          <w:rFonts w:ascii="Lucida Sans Unicode" w:hAnsi="Lucida Sans Unicode" w:cs="Lucida Sans Unicode"/>
          <w:sz w:val="24"/>
          <w:szCs w:val="24"/>
        </w:rPr>
        <w:t>, que tem sua Constitucionalidade comprovada, porém esbarra na premissa Legal da divisão de poderes, uma vez que a matéria é imputada como prerrogativa do Executivo.</w:t>
      </w:r>
    </w:p>
    <w:p w:rsidR="0086223C" w:rsidRPr="008B0593" w:rsidRDefault="0086223C" w:rsidP="00DC74C3">
      <w:pPr>
        <w:ind w:firstLine="709"/>
        <w:jc w:val="both"/>
        <w:rPr>
          <w:rFonts w:ascii="Lucida Sans Unicode" w:hAnsi="Lucida Sans Unicode" w:cs="Lucida Sans Unicode"/>
          <w:sz w:val="24"/>
          <w:szCs w:val="24"/>
        </w:rPr>
      </w:pPr>
      <w:r w:rsidRPr="008B0593">
        <w:rPr>
          <w:rFonts w:ascii="Lucida Sans Unicode" w:hAnsi="Lucida Sans Unicode" w:cs="Lucida Sans Unicode"/>
          <w:sz w:val="24"/>
          <w:szCs w:val="24"/>
        </w:rPr>
        <w:t xml:space="preserve">Contudo, vemos a gana e vontade do Legislador em defesa de sua propositura nas considerações e justificativas carregadas nas linhas acima, que aponta não haver invasão de prerrogativa e competência do Poder Legislativo na matéria, uma vez que em nenhuma hipótese prevê obrigação, determinação ou regulamentação sobre a competência Executiva, mas apenas e tão somente apresenta previsão de possibilidade de recebimento de patrocínio caso haja </w:t>
      </w:r>
      <w:r w:rsidRPr="008B0593">
        <w:rPr>
          <w:rFonts w:ascii="Lucida Sans Unicode" w:hAnsi="Lucida Sans Unicode" w:cs="Lucida Sans Unicode"/>
          <w:sz w:val="24"/>
          <w:szCs w:val="24"/>
        </w:rPr>
        <w:lastRenderedPageBreak/>
        <w:t>interesse da Administração Municipal, sendo nula a obrigatoriedade em se firmar contrato ou qualquer ônus para o erário Municipal.</w:t>
      </w:r>
    </w:p>
    <w:p w:rsidR="00D107D0" w:rsidRPr="008B0593" w:rsidRDefault="00D107D0" w:rsidP="00BB57CC">
      <w:pPr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bookmarkStart w:id="0" w:name="_GoBack"/>
      <w:bookmarkEnd w:id="0"/>
    </w:p>
    <w:p w:rsidR="00F20801" w:rsidRPr="008B0593" w:rsidRDefault="00D5737A" w:rsidP="00DC74C3">
      <w:pPr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</w:rPr>
        <w:t>P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ortanto, mediante o estudo do 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Projeto de Lei apresentado, estudo da matéria constitucional juntamente com o parecer da consultoria e das considerações e justificativas apresentadas pelo </w:t>
      </w:r>
      <w:proofErr w:type="gramStart"/>
      <w:r w:rsidR="008B0593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Legislador, </w:t>
      </w:r>
      <w:r w:rsidR="00AE6654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D107D0" w:rsidRPr="008B0593">
        <w:rPr>
          <w:rFonts w:ascii="Lucida Sans Unicode" w:eastAsia="Calibri" w:hAnsi="Lucida Sans Unicode" w:cs="Lucida Sans Unicode"/>
          <w:sz w:val="24"/>
          <w:szCs w:val="24"/>
        </w:rPr>
        <w:t>a</w:t>
      </w:r>
      <w:proofErr w:type="gramEnd"/>
      <w:r w:rsidR="00D107D0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Comissão de Justiça e Redação encaminha este parecer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para apreciação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, discussão </w:t>
      </w:r>
      <w:r w:rsidRPr="008B0593">
        <w:rPr>
          <w:rFonts w:ascii="Lucida Sans Unicode" w:eastAsia="Calibri" w:hAnsi="Lucida Sans Unicode" w:cs="Lucida Sans Unicode"/>
          <w:sz w:val="24"/>
          <w:szCs w:val="24"/>
        </w:rPr>
        <w:t xml:space="preserve"> e deliberação do Douto Plenário.</w:t>
      </w:r>
    </w:p>
    <w:p w:rsidR="00F20801" w:rsidRPr="008B0593" w:rsidRDefault="00F20801">
      <w:pPr>
        <w:spacing w:line="276" w:lineRule="auto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4843C1" w:rsidRPr="008B0593" w:rsidRDefault="00D107D0" w:rsidP="00AE6654">
      <w:pPr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Sala das Comissões, em </w:t>
      </w:r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12 de </w:t>
      </w:r>
      <w:proofErr w:type="gramStart"/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Maio</w:t>
      </w:r>
      <w:proofErr w:type="gramEnd"/>
      <w:r w:rsidR="008B0593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de 2021</w:t>
      </w:r>
      <w:r w:rsidR="00D5737A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.</w:t>
      </w:r>
    </w:p>
    <w:p w:rsidR="003A4055" w:rsidRPr="008B0593" w:rsidRDefault="003A4055">
      <w:pPr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  <w:u w:val="single"/>
        </w:rPr>
      </w:pPr>
    </w:p>
    <w:p w:rsidR="00F20801" w:rsidRPr="008B0593" w:rsidRDefault="00D5737A">
      <w:pPr>
        <w:spacing w:line="360" w:lineRule="auto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</w:pPr>
      <w:r w:rsidRPr="008B0593"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  <w:t>COMISSÃO DE JUSTIÇA E REDAÇÃO</w:t>
      </w:r>
    </w:p>
    <w:p w:rsidR="00F20801" w:rsidRPr="008B0593" w:rsidRDefault="00F20801" w:rsidP="00AE6654">
      <w:pPr>
        <w:spacing w:line="360" w:lineRule="auto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VEREADORA LUZIA CRISTINA CORTÊS</w:t>
      </w: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PRESIDENTE</w:t>
      </w:r>
      <w:r w:rsidR="004F74BE"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/ RELATORA</w:t>
      </w: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 w:rsidP="003A4055">
      <w:pPr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 TIAGO CESAR COSTA</w:t>
      </w: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VICE - PRESIDENTE</w:t>
      </w: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 w:rsidP="003A4055">
      <w:pPr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F20801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F20801" w:rsidRPr="008B0593" w:rsidRDefault="00D5737A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 JOÃO VICTOR GASPARINI</w:t>
      </w:r>
    </w:p>
    <w:p w:rsidR="00F20801" w:rsidRPr="008B0593" w:rsidRDefault="004F74BE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8B0593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MEMBRO </w:t>
      </w:r>
    </w:p>
    <w:p w:rsidR="003A4055" w:rsidRPr="008B0593" w:rsidRDefault="003A4055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3A4055" w:rsidRPr="008B0593" w:rsidRDefault="003A4055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4F74BE" w:rsidRPr="008B0593" w:rsidRDefault="004F74BE">
      <w:pPr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4F74BE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sectPr w:rsidR="004F74BE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9D" w:rsidRDefault="00A2079D">
      <w:r>
        <w:separator/>
      </w:r>
    </w:p>
  </w:endnote>
  <w:endnote w:type="continuationSeparator" w:id="0">
    <w:p w:rsidR="00A2079D" w:rsidRDefault="00A2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9D" w:rsidRDefault="00A2079D">
      <w:r>
        <w:separator/>
      </w:r>
    </w:p>
  </w:footnote>
  <w:footnote w:type="continuationSeparator" w:id="0">
    <w:p w:rsidR="00A2079D" w:rsidRDefault="00A2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F20801" w:rsidRDefault="00D5737A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1"/>
    <w:rsid w:val="00111F9C"/>
    <w:rsid w:val="0013212B"/>
    <w:rsid w:val="00154CD0"/>
    <w:rsid w:val="00155852"/>
    <w:rsid w:val="001655C7"/>
    <w:rsid w:val="00171C0D"/>
    <w:rsid w:val="00212286"/>
    <w:rsid w:val="00231450"/>
    <w:rsid w:val="002561CE"/>
    <w:rsid w:val="0026050B"/>
    <w:rsid w:val="00293808"/>
    <w:rsid w:val="003A4055"/>
    <w:rsid w:val="004251FF"/>
    <w:rsid w:val="00451D82"/>
    <w:rsid w:val="00453A1D"/>
    <w:rsid w:val="004843C1"/>
    <w:rsid w:val="004C49FB"/>
    <w:rsid w:val="004D766D"/>
    <w:rsid w:val="004F74BE"/>
    <w:rsid w:val="00554348"/>
    <w:rsid w:val="005A29E0"/>
    <w:rsid w:val="005B271D"/>
    <w:rsid w:val="005F487D"/>
    <w:rsid w:val="00656FFB"/>
    <w:rsid w:val="007248A4"/>
    <w:rsid w:val="0077104B"/>
    <w:rsid w:val="007B6689"/>
    <w:rsid w:val="008376B6"/>
    <w:rsid w:val="00837766"/>
    <w:rsid w:val="0086223C"/>
    <w:rsid w:val="00871537"/>
    <w:rsid w:val="008B0593"/>
    <w:rsid w:val="008D1FDD"/>
    <w:rsid w:val="00904904"/>
    <w:rsid w:val="00957A05"/>
    <w:rsid w:val="0098640A"/>
    <w:rsid w:val="009A41C4"/>
    <w:rsid w:val="009A5427"/>
    <w:rsid w:val="009F5509"/>
    <w:rsid w:val="00A2079D"/>
    <w:rsid w:val="00A311EC"/>
    <w:rsid w:val="00AE6654"/>
    <w:rsid w:val="00B32F8E"/>
    <w:rsid w:val="00B53920"/>
    <w:rsid w:val="00BB57CC"/>
    <w:rsid w:val="00CB4F89"/>
    <w:rsid w:val="00D107D0"/>
    <w:rsid w:val="00D3151A"/>
    <w:rsid w:val="00D5737A"/>
    <w:rsid w:val="00DA214A"/>
    <w:rsid w:val="00DC1125"/>
    <w:rsid w:val="00DC74C3"/>
    <w:rsid w:val="00DF0536"/>
    <w:rsid w:val="00E11E8A"/>
    <w:rsid w:val="00E1323D"/>
    <w:rsid w:val="00E32D04"/>
    <w:rsid w:val="00EB1A80"/>
    <w:rsid w:val="00EB62E7"/>
    <w:rsid w:val="00F20801"/>
    <w:rsid w:val="00F3420D"/>
    <w:rsid w:val="00F509BA"/>
    <w:rsid w:val="00F97696"/>
    <w:rsid w:val="00FD2D5D"/>
    <w:rsid w:val="00FE71FF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DBFA4-9950-4C90-9F14-53DB5C0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SdgKloPymmJbFDld0Y/YuZjJw==">AMUW2mWcWw3tGNhjUUkIaRQQ8YjWsiL6G/uYnLZt9JgsWEXE4qboC0lES20avLX3a/dtfA3JUgDXC1Q2X9mXyQzq0uEvmBZhHMOQdS66/WyVJH+fVdsGBqFGteipkNJGB5HWGMYTSL2n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Luzia</cp:lastModifiedBy>
  <cp:revision>3</cp:revision>
  <cp:lastPrinted>2021-04-15T12:18:00Z</cp:lastPrinted>
  <dcterms:created xsi:type="dcterms:W3CDTF">2021-05-11T23:59:00Z</dcterms:created>
  <dcterms:modified xsi:type="dcterms:W3CDTF">2021-05-12T01:23:00Z</dcterms:modified>
</cp:coreProperties>
</file>