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3020" w14:textId="77777777" w:rsidR="000955D8" w:rsidRDefault="000955D8" w:rsidP="000955D8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026/21</w:t>
      </w:r>
    </w:p>
    <w:p w14:paraId="06B3238E" w14:textId="77777777" w:rsidR="000955D8" w:rsidRDefault="000955D8" w:rsidP="000955D8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5897/21]</w:t>
      </w:r>
    </w:p>
    <w:p w14:paraId="2167AF97" w14:textId="77777777" w:rsidR="000955D8" w:rsidRDefault="000955D8" w:rsidP="000955D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1C805C1" w14:textId="77777777" w:rsidR="000955D8" w:rsidRDefault="000955D8" w:rsidP="000955D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28 de maio de 2 021.</w:t>
      </w:r>
    </w:p>
    <w:p w14:paraId="16A9DF39" w14:textId="77777777" w:rsidR="000955D8" w:rsidRDefault="000955D8" w:rsidP="000955D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E55A96" w14:textId="77777777" w:rsidR="000955D8" w:rsidRDefault="000955D8" w:rsidP="000955D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2D0EDE8" w14:textId="77777777" w:rsidR="000955D8" w:rsidRDefault="000955D8" w:rsidP="000955D8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1443A6B7" w14:textId="77777777" w:rsidR="000955D8" w:rsidRDefault="000955D8" w:rsidP="000955D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25F6E43" w14:textId="77777777" w:rsidR="000955D8" w:rsidRPr="000955D8" w:rsidRDefault="000955D8" w:rsidP="000955D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15A129" w14:textId="77777777" w:rsidR="000955D8" w:rsidRPr="000955D8" w:rsidRDefault="000955D8" w:rsidP="000955D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</w:rPr>
      </w:pPr>
    </w:p>
    <w:p w14:paraId="32D46ACE" w14:textId="4AB38928" w:rsidR="000955D8" w:rsidRDefault="000955D8" w:rsidP="000955D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955D8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64A194D4" w14:textId="77777777" w:rsidR="000955D8" w:rsidRPr="000955D8" w:rsidRDefault="000955D8" w:rsidP="000955D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4907C7E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</w:rPr>
      </w:pPr>
    </w:p>
    <w:p w14:paraId="7604B4E1" w14:textId="77777777" w:rsidR="000955D8" w:rsidRPr="000955D8" w:rsidRDefault="000955D8" w:rsidP="000955D8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5D8">
        <w:rPr>
          <w:rFonts w:ascii="Times New Roman" w:eastAsia="MS Mincho" w:hAnsi="Times New Roman" w:cs="Times New Roman"/>
          <w:sz w:val="24"/>
          <w:szCs w:val="24"/>
        </w:rPr>
        <w:t xml:space="preserve">Busca-se com o incluso Projeto de Lei a necessária e indispensável autorização legislativa para que este Poder Executivo possa dar denominação de </w:t>
      </w:r>
      <w:r w:rsidRPr="000955D8">
        <w:rPr>
          <w:rFonts w:ascii="Times New Roman" w:eastAsia="MS Mincho" w:hAnsi="Times New Roman" w:cs="Times New Roman"/>
          <w:b/>
          <w:bCs/>
          <w:sz w:val="24"/>
          <w:szCs w:val="24"/>
        </w:rPr>
        <w:t>“BOSQUE DAS JABUTICABEIRAS”</w:t>
      </w:r>
      <w:r w:rsidRPr="000955D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955D8">
        <w:rPr>
          <w:rFonts w:ascii="Times New Roman" w:hAnsi="Times New Roman" w:cs="Times New Roman"/>
          <w:sz w:val="24"/>
          <w:szCs w:val="24"/>
        </w:rPr>
        <w:t>à área onde se localiza o Abrigo Subterrâneo conhecido como “Bunker”.</w:t>
      </w:r>
    </w:p>
    <w:p w14:paraId="2D9C040A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5553C77A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 w:rsidRPr="000955D8">
        <w:rPr>
          <w:rFonts w:ascii="Times New Roman" w:hAnsi="Times New Roman" w:cs="Times New Roman"/>
          <w:sz w:val="24"/>
          <w:szCs w:val="24"/>
        </w:rPr>
        <w:t xml:space="preserve">Como é de nosso conhecimento, o Município de Mogi Mirim recebeu recursos estaduais pelo MIT – Município de Interesse Turístico – para reforma e revitalização da área em questão, que está localizada às margens da Rodovia Nagib </w:t>
      </w:r>
      <w:proofErr w:type="spellStart"/>
      <w:r w:rsidRPr="000955D8">
        <w:rPr>
          <w:rFonts w:ascii="Times New Roman" w:hAnsi="Times New Roman" w:cs="Times New Roman"/>
          <w:sz w:val="24"/>
          <w:szCs w:val="24"/>
        </w:rPr>
        <w:t>Chaib</w:t>
      </w:r>
      <w:proofErr w:type="spellEnd"/>
      <w:r w:rsidRPr="000955D8">
        <w:rPr>
          <w:rFonts w:ascii="Times New Roman" w:hAnsi="Times New Roman" w:cs="Times New Roman"/>
          <w:sz w:val="24"/>
          <w:szCs w:val="24"/>
        </w:rPr>
        <w:t xml:space="preserve">. O local, porém, não se resume somente ao abrigo: possui </w:t>
      </w:r>
      <w:smartTag w:uri="urn:schemas-microsoft-com:office:smarttags" w:element="metricconverter">
        <w:smartTagPr>
          <w:attr w:name="ProductID" w:val="153 m²"/>
        </w:smartTagPr>
        <w:r w:rsidRPr="000955D8">
          <w:rPr>
            <w:rFonts w:ascii="Times New Roman" w:hAnsi="Times New Roman" w:cs="Times New Roman"/>
            <w:sz w:val="24"/>
            <w:szCs w:val="24"/>
          </w:rPr>
          <w:t>153 m²</w:t>
        </w:r>
      </w:smartTag>
      <w:r w:rsidRPr="000955D8">
        <w:rPr>
          <w:rFonts w:ascii="Times New Roman" w:hAnsi="Times New Roman" w:cs="Times New Roman"/>
          <w:sz w:val="24"/>
          <w:szCs w:val="24"/>
        </w:rPr>
        <w:t xml:space="preserve"> de área de preservação ambiental, possibilitando atividades culturais e turísticas, o lazer ao ar livre e a contemplação da natureza.</w:t>
      </w:r>
    </w:p>
    <w:p w14:paraId="0A1876FB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67991E9F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 w:rsidRPr="000955D8">
        <w:rPr>
          <w:rFonts w:ascii="Times New Roman" w:hAnsi="Times New Roman" w:cs="Times New Roman"/>
          <w:sz w:val="24"/>
          <w:szCs w:val="24"/>
        </w:rPr>
        <w:t>A proposta de utilização deste nome – “Bosque das Jabuticabeiras” – foi levada há alguns meses aos dois Conselhos vinculados à Secretaria de Cultura e Turismo: Conselho Municipal de Turismo e Conselho Municipal de Política Cultural, ambos responsáveis pela formulação da política de cultura e turismo no Município. A proposta foi aprovada por unanimidade, e recebeu apoio dos citados Conselhos.</w:t>
      </w:r>
    </w:p>
    <w:p w14:paraId="7838B6BD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32C76FF7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 w:rsidRPr="000955D8">
        <w:rPr>
          <w:rFonts w:ascii="Times New Roman" w:hAnsi="Times New Roman" w:cs="Times New Roman"/>
          <w:sz w:val="24"/>
          <w:szCs w:val="24"/>
        </w:rPr>
        <w:t>No local, além de espécimes da fauna, como Saguis, Tatus, Gatos do Mato, Raposas, encontramos, além de Jacarandás centenários, 32 Jabuticabeiras, também centenárias e nativas, em plena produção.</w:t>
      </w:r>
    </w:p>
    <w:p w14:paraId="281F2196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4D583C93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0955D8">
        <w:rPr>
          <w:rFonts w:ascii="Times New Roman" w:hAnsi="Times New Roman" w:cs="Times New Roman"/>
          <w:sz w:val="24"/>
          <w:szCs w:val="24"/>
        </w:rPr>
        <w:t>A</w:t>
      </w:r>
      <w:r w:rsidRPr="000955D8">
        <w:rPr>
          <w:rFonts w:ascii="Times New Roman" w:hAnsi="Times New Roman" w:cs="Times New Roman"/>
          <w:color w:val="000000"/>
          <w:sz w:val="24"/>
          <w:szCs w:val="24"/>
        </w:rPr>
        <w:t>s Jabuticabeiras vegetavam nas áreas que margeavam os rios e córregos da região Sudeste, dando formação a extensas capoeiras e matas repletas pela árvore, tendo se expandido tanto naturalmente como através do cultivo.</w:t>
      </w:r>
      <w:r w:rsidRPr="000955D8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</w:p>
    <w:p w14:paraId="4D18BF60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497295E6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955D8">
        <w:rPr>
          <w:rFonts w:ascii="Times New Roman" w:hAnsi="Times New Roman" w:cs="Times New Roman"/>
          <w:color w:val="000000"/>
          <w:sz w:val="24"/>
          <w:szCs w:val="24"/>
        </w:rPr>
        <w:t xml:space="preserve">O nome “Jabuticaba” ou “Jaboticaba”, tem origem indígena, e foi assim denominado pelos Tupis, que saboreavam seu fruto tanto na forma natural como fermentada. O significado pode ser traduzido como “frutas em botão”. </w:t>
      </w:r>
      <w:r w:rsidRPr="000955D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É uma árvore conhecida há mais de 400 anos, com raízes totalmente brasileiras.</w:t>
      </w:r>
    </w:p>
    <w:p w14:paraId="4BED7218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3A8466C6" w14:textId="77777777" w:rsidR="000955D8" w:rsidRPr="000955D8" w:rsidRDefault="000955D8" w:rsidP="00095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793B3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 w:rsidRPr="000955D8">
        <w:rPr>
          <w:rFonts w:ascii="Times New Roman" w:hAnsi="Times New Roman" w:cs="Times New Roman"/>
          <w:sz w:val="24"/>
          <w:szCs w:val="24"/>
        </w:rPr>
        <w:t xml:space="preserve">Considero que o fato </w:t>
      </w:r>
      <w:proofErr w:type="gramStart"/>
      <w:r w:rsidRPr="000955D8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0955D8">
        <w:rPr>
          <w:rFonts w:ascii="Times New Roman" w:hAnsi="Times New Roman" w:cs="Times New Roman"/>
          <w:sz w:val="24"/>
          <w:szCs w:val="24"/>
        </w:rPr>
        <w:t xml:space="preserve"> Jabuticabeiras do local estarem produzindo, torna-se um fator de atenção tanto ambiental como cultural; pode-se produzir derivados dessas frutas, como o licor, o sorvete, que podem, inclusive, ser comercializados no local, gerando não só renda, mas fator de apropriação cultural, tornando-se uma culinária típica do município. </w:t>
      </w:r>
    </w:p>
    <w:p w14:paraId="1499F560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716711F4" w14:textId="77777777" w:rsidR="000955D8" w:rsidRPr="000955D8" w:rsidRDefault="000955D8" w:rsidP="000955D8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 w:rsidRPr="000955D8">
        <w:rPr>
          <w:rFonts w:ascii="Times New Roman" w:hAnsi="Times New Roman" w:cs="Times New Roman"/>
          <w:sz w:val="24"/>
          <w:szCs w:val="24"/>
        </w:rPr>
        <w:t>Portanto, o local pode ser planejado e explorado, no sentido cultural e turístico, muito além da área do Abrigo Subterrâneo, histórica, sim, mas cheia de significados e possibilidades.</w:t>
      </w:r>
    </w:p>
    <w:p w14:paraId="1A28B2AE" w14:textId="77777777" w:rsidR="000955D8" w:rsidRPr="000955D8" w:rsidRDefault="000955D8" w:rsidP="000955D8">
      <w:pPr>
        <w:pStyle w:val="Rodap"/>
        <w:tabs>
          <w:tab w:val="left" w:pos="708"/>
        </w:tabs>
        <w:ind w:firstLine="3480"/>
        <w:jc w:val="both"/>
        <w:rPr>
          <w:rFonts w:eastAsia="MS Mincho"/>
        </w:rPr>
      </w:pPr>
    </w:p>
    <w:p w14:paraId="265B8C90" w14:textId="77777777" w:rsidR="000955D8" w:rsidRPr="000955D8" w:rsidRDefault="000955D8" w:rsidP="000955D8">
      <w:pPr>
        <w:pStyle w:val="Rodap"/>
        <w:tabs>
          <w:tab w:val="left" w:pos="708"/>
        </w:tabs>
        <w:ind w:firstLine="3480"/>
        <w:jc w:val="both"/>
        <w:rPr>
          <w:rFonts w:eastAsia="MS Mincho"/>
        </w:rPr>
      </w:pPr>
      <w:r w:rsidRPr="000955D8">
        <w:rPr>
          <w:rFonts w:eastAsia="MS Mincho"/>
        </w:rPr>
        <w:t>Diante do exposto, aguarda-se que essa colenda Câmara de Vereadores aprove a presente matéria, haja vista que se trata de uma justa e merecida denominação a uma área de grande valor histórico e cultural para este Município.</w:t>
      </w:r>
    </w:p>
    <w:p w14:paraId="212C3181" w14:textId="48F5103B" w:rsidR="000955D8" w:rsidRDefault="000955D8" w:rsidP="000955D8">
      <w:pPr>
        <w:pStyle w:val="Rodap"/>
        <w:tabs>
          <w:tab w:val="left" w:pos="708"/>
        </w:tabs>
        <w:ind w:firstLine="3960"/>
        <w:jc w:val="both"/>
        <w:rPr>
          <w:rFonts w:eastAsia="MS Mincho"/>
        </w:rPr>
      </w:pPr>
    </w:p>
    <w:p w14:paraId="7C7C7249" w14:textId="4D3945F7" w:rsidR="000955D8" w:rsidRDefault="000955D8" w:rsidP="000955D8">
      <w:pPr>
        <w:pStyle w:val="Rodap"/>
        <w:tabs>
          <w:tab w:val="left" w:pos="708"/>
        </w:tabs>
        <w:ind w:firstLine="3960"/>
        <w:jc w:val="both"/>
        <w:rPr>
          <w:rFonts w:eastAsia="MS Mincho"/>
        </w:rPr>
      </w:pPr>
    </w:p>
    <w:p w14:paraId="293E00DB" w14:textId="77777777" w:rsidR="000955D8" w:rsidRPr="000955D8" w:rsidRDefault="000955D8" w:rsidP="000955D8">
      <w:pPr>
        <w:pStyle w:val="Rodap"/>
        <w:tabs>
          <w:tab w:val="left" w:pos="708"/>
        </w:tabs>
        <w:ind w:firstLine="3960"/>
        <w:jc w:val="both"/>
        <w:rPr>
          <w:rFonts w:eastAsia="MS Mincho"/>
        </w:rPr>
      </w:pPr>
    </w:p>
    <w:p w14:paraId="3773D664" w14:textId="77777777" w:rsidR="000955D8" w:rsidRPr="000955D8" w:rsidRDefault="000955D8" w:rsidP="000955D8">
      <w:pPr>
        <w:pStyle w:val="Rodap"/>
        <w:tabs>
          <w:tab w:val="left" w:pos="708"/>
        </w:tabs>
        <w:ind w:firstLine="3960"/>
        <w:jc w:val="both"/>
        <w:rPr>
          <w:rFonts w:eastAsia="MS Mincho"/>
        </w:rPr>
      </w:pPr>
      <w:r w:rsidRPr="000955D8">
        <w:rPr>
          <w:rFonts w:eastAsia="MS Mincho"/>
        </w:rPr>
        <w:t>Respeitosamente,</w:t>
      </w:r>
    </w:p>
    <w:p w14:paraId="71F47A77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4B0B13A7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02FDC138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2F075F6F" w14:textId="77777777" w:rsidR="000955D8" w:rsidRPr="000955D8" w:rsidRDefault="000955D8" w:rsidP="000955D8">
      <w:pPr>
        <w:pStyle w:val="Ttulo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955D8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14:paraId="40446D22" w14:textId="5EBA6025" w:rsidR="000955D8" w:rsidRPr="000955D8" w:rsidRDefault="000955D8" w:rsidP="000955D8">
      <w:pPr>
        <w:pStyle w:val="Ttulo2"/>
        <w:jc w:val="center"/>
        <w:rPr>
          <w:rFonts w:ascii="Times New Roman" w:eastAsia="MS Mincho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955D8">
        <w:rPr>
          <w:rFonts w:ascii="Times New Roman" w:eastAsia="MS Mincho" w:hAnsi="Times New Roman" w:cs="Times New Roman"/>
          <w:b w:val="0"/>
          <w:bCs w:val="0"/>
          <w:color w:val="000000" w:themeColor="text1"/>
          <w:sz w:val="24"/>
          <w:szCs w:val="24"/>
        </w:rPr>
        <w:t>Prefeito Municipal</w:t>
      </w:r>
    </w:p>
    <w:p w14:paraId="1C1B771D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64B54B21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1A1028A7" w14:textId="77777777" w:rsidR="000955D8" w:rsidRPr="000955D8" w:rsidRDefault="000955D8" w:rsidP="000955D8">
      <w:pPr>
        <w:pStyle w:val="Rodap"/>
        <w:tabs>
          <w:tab w:val="left" w:pos="708"/>
        </w:tabs>
        <w:ind w:left="3360"/>
        <w:jc w:val="both"/>
        <w:rPr>
          <w:rFonts w:eastAsia="MS Mincho"/>
          <w:b/>
          <w:bCs/>
        </w:rPr>
      </w:pPr>
    </w:p>
    <w:p w14:paraId="78F44536" w14:textId="77777777" w:rsidR="000955D8" w:rsidRPr="000955D8" w:rsidRDefault="000955D8" w:rsidP="000955D8">
      <w:pPr>
        <w:pStyle w:val="Rodap"/>
        <w:tabs>
          <w:tab w:val="left" w:pos="708"/>
        </w:tabs>
        <w:ind w:left="3360"/>
        <w:jc w:val="both"/>
        <w:rPr>
          <w:rFonts w:eastAsia="MS Mincho"/>
          <w:b/>
          <w:bCs/>
        </w:rPr>
      </w:pPr>
    </w:p>
    <w:p w14:paraId="4E1031CF" w14:textId="77777777" w:rsidR="000955D8" w:rsidRPr="000955D8" w:rsidRDefault="000955D8" w:rsidP="000955D8">
      <w:pPr>
        <w:pStyle w:val="Rodap"/>
        <w:tabs>
          <w:tab w:val="left" w:pos="708"/>
        </w:tabs>
        <w:ind w:left="3360"/>
        <w:jc w:val="both"/>
        <w:rPr>
          <w:rFonts w:eastAsia="MS Mincho"/>
          <w:b/>
          <w:bCs/>
        </w:rPr>
      </w:pPr>
    </w:p>
    <w:p w14:paraId="5E53C284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4E5A2682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738419EC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2DE364A0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07982B90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73CBFA31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734A238E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7E43053B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6C2C9201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04EA2E06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26F440D2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03678B50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3658396E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71A001BB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226F5BCC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25215423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0AA590F2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0CB6394F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45C13150" w14:textId="77777777" w:rsidR="000955D8" w:rsidRP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1F8DAAF2" w14:textId="77777777" w:rsid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18E3DA70" w14:textId="77777777" w:rsidR="000955D8" w:rsidRDefault="000955D8" w:rsidP="000955D8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</w:p>
    <w:p w14:paraId="4001434C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55D8"/>
    <w:rsid w:val="001915A3"/>
    <w:rsid w:val="00217F6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132C9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0955D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0955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955D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955D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2021-06-01T13:43:00Z</dcterms:modified>
</cp:coreProperties>
</file>