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</w:t>
      </w:r>
      <w:r w:rsidR="00F93899">
        <w:rPr>
          <w:rFonts w:ascii="Arial" w:eastAsia="Arial" w:hAnsi="Arial" w:cs="Arial"/>
          <w:b/>
          <w:sz w:val="24"/>
          <w:szCs w:val="24"/>
        </w:rPr>
        <w:t>5</w:t>
      </w:r>
      <w:r w:rsidR="003338E3">
        <w:rPr>
          <w:rFonts w:ascii="Arial" w:eastAsia="Arial" w:hAnsi="Arial" w:cs="Arial"/>
          <w:b/>
          <w:sz w:val="24"/>
          <w:szCs w:val="24"/>
        </w:rPr>
        <w:t>0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93899">
        <w:rPr>
          <w:rFonts w:ascii="Arial" w:eastAsia="Arial" w:hAnsi="Arial" w:cs="Arial"/>
          <w:b/>
          <w:sz w:val="24"/>
          <w:szCs w:val="24"/>
        </w:rPr>
        <w:t>64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F93899">
        <w:rPr>
          <w:rFonts w:ascii="Arial" w:eastAsia="Calibri" w:hAnsi="Arial" w:cs="Arial"/>
          <w:sz w:val="24"/>
          <w:szCs w:val="24"/>
        </w:rPr>
        <w:t xml:space="preserve"> apresentado pela Exma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F93899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F93899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F93899">
        <w:rPr>
          <w:rFonts w:ascii="Arial" w:eastAsia="Calibri" w:hAnsi="Arial" w:cs="Arial"/>
          <w:sz w:val="24"/>
          <w:szCs w:val="24"/>
        </w:rPr>
        <w:t>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F93899">
        <w:rPr>
          <w:rFonts w:ascii="Arial" w:eastAsia="Calibri" w:hAnsi="Arial" w:cs="Arial"/>
          <w:b/>
          <w:sz w:val="24"/>
          <w:szCs w:val="24"/>
        </w:rPr>
        <w:t>INSTITUI SISTEMA DE TRANSPARÊNCIA E RASTREAMENTO DAS DOSES DE VACINAS DE COMBATE DO CORONAVÍRUS RECEBIDAS PELO MUNICÍPIO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F93899">
        <w:rPr>
          <w:rFonts w:ascii="Arial" w:eastAsia="Calibri" w:hAnsi="Arial" w:cs="Arial"/>
          <w:sz w:val="24"/>
          <w:szCs w:val="24"/>
        </w:rPr>
        <w:t>O Projeto busca implementar a obrigatoriedade da divulgação de dados acerca das doses de vacinas contra a COVID-19 no Município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de forma </w:t>
      </w:r>
      <w:r>
        <w:rPr>
          <w:rFonts w:ascii="Arial" w:eastAsia="Calibri" w:hAnsi="Arial" w:cs="Arial"/>
          <w:sz w:val="24"/>
          <w:szCs w:val="24"/>
        </w:rPr>
        <w:t>des</w:t>
      </w:r>
      <w:r w:rsidR="00043FF1" w:rsidRPr="00A902D5">
        <w:rPr>
          <w:rFonts w:ascii="Arial" w:eastAsia="Calibri" w:hAnsi="Arial" w:cs="Arial"/>
          <w:sz w:val="24"/>
          <w:szCs w:val="24"/>
        </w:rPr>
        <w:t>favorável</w:t>
      </w:r>
      <w:r w:rsidR="00CD22E7">
        <w:rPr>
          <w:rFonts w:ascii="Arial" w:eastAsia="Calibri" w:hAnsi="Arial" w:cs="Arial"/>
          <w:sz w:val="24"/>
          <w:szCs w:val="24"/>
        </w:rPr>
        <w:t xml:space="preserve"> por</w:t>
      </w:r>
      <w:r>
        <w:rPr>
          <w:rFonts w:ascii="Arial" w:eastAsia="Calibri" w:hAnsi="Arial" w:cs="Arial"/>
          <w:sz w:val="24"/>
          <w:szCs w:val="24"/>
        </w:rPr>
        <w:t xml:space="preserve"> considerar que </w:t>
      </w:r>
      <w:r w:rsidRPr="006171BF">
        <w:rPr>
          <w:rFonts w:ascii="Arial" w:eastAsia="Calibri" w:hAnsi="Arial" w:cs="Arial"/>
          <w:sz w:val="24"/>
          <w:szCs w:val="24"/>
        </w:rPr>
        <w:t>se trataria de matéria de iniciativa exclusiva do prefeito</w:t>
      </w:r>
      <w:r w:rsidR="00F93899">
        <w:rPr>
          <w:rFonts w:ascii="Arial" w:eastAsia="Calibri" w:hAnsi="Arial" w:cs="Arial"/>
          <w:sz w:val="24"/>
          <w:szCs w:val="24"/>
        </w:rPr>
        <w:t xml:space="preserve"> por fixar novas atribuições a órgãos de Administração Pública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D24FC6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>Em que pese os argumentos expostos pelo órgão consultor, esta Comissão tece entendimento contrário ao exposto</w:t>
      </w:r>
      <w:r w:rsidR="00CD22E7">
        <w:rPr>
          <w:rFonts w:ascii="Arial" w:eastAsia="Calibri" w:hAnsi="Arial" w:cs="Arial"/>
          <w:sz w:val="24"/>
          <w:szCs w:val="24"/>
        </w:rPr>
        <w:t xml:space="preserve">, </w:t>
      </w:r>
      <w:r w:rsidR="00CD22E7">
        <w:rPr>
          <w:rFonts w:ascii="Arial" w:hAnsi="Arial" w:cs="Arial"/>
          <w:bCs/>
          <w:sz w:val="24"/>
          <w:szCs w:val="24"/>
          <w:lang w:eastAsia="ar-SA"/>
        </w:rPr>
        <w:t>já que, em</w:t>
      </w:r>
      <w:r w:rsidR="00CD22E7" w:rsidRPr="00A902D5">
        <w:rPr>
          <w:rFonts w:ascii="Arial" w:hAnsi="Arial" w:cs="Arial"/>
          <w:bCs/>
          <w:sz w:val="24"/>
          <w:szCs w:val="24"/>
          <w:lang w:eastAsia="ar-SA"/>
        </w:rPr>
        <w:t xml:space="preserve"> análise técnica da matéria, denota-se que não existem óbices jurídicos para tramitação da propositura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F93899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F93899" w:rsidRDefault="00CD22E7" w:rsidP="00CD22E7">
      <w:pPr>
        <w:pStyle w:val="Normal1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D24FC6" w:rsidRPr="00F93899">
        <w:rPr>
          <w:rFonts w:ascii="Arial" w:eastAsia="Calibri" w:hAnsi="Arial" w:cs="Arial"/>
          <w:sz w:val="24"/>
          <w:szCs w:val="24"/>
        </w:rPr>
        <w:t>Vejamos:</w:t>
      </w:r>
    </w:p>
    <w:p w:rsidR="00D35616" w:rsidRPr="00F93899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4550EF" w:rsidP="00001923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F93899" w:rsidRPr="00F93899">
        <w:rPr>
          <w:rFonts w:ascii="Arial" w:eastAsia="Calibri" w:hAnsi="Arial" w:cs="Arial"/>
          <w:sz w:val="24"/>
          <w:szCs w:val="24"/>
        </w:rPr>
        <w:t>Inicialmente e</w:t>
      </w:r>
      <w:r w:rsidR="001A0E90" w:rsidRPr="00F93899">
        <w:rPr>
          <w:rFonts w:ascii="Arial" w:eastAsia="Calibri" w:hAnsi="Arial" w:cs="Arial"/>
          <w:sz w:val="24"/>
          <w:szCs w:val="24"/>
        </w:rPr>
        <w:t xml:space="preserve"> no tocante </w:t>
      </w:r>
      <w:r w:rsidR="00AD7587" w:rsidRPr="00F93899">
        <w:rPr>
          <w:rFonts w:ascii="Arial" w:eastAsia="Calibri" w:hAnsi="Arial" w:cs="Arial"/>
          <w:sz w:val="24"/>
          <w:szCs w:val="24"/>
        </w:rPr>
        <w:t>à iniciativa, e</w:t>
      </w:r>
      <w:r w:rsidR="00F76285" w:rsidRPr="00F93899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</w:t>
      </w:r>
      <w:r w:rsidR="00694B75" w:rsidRPr="00F93899">
        <w:rPr>
          <w:rFonts w:ascii="Arial" w:eastAsia="Calibri" w:hAnsi="Arial" w:cs="Arial"/>
          <w:sz w:val="24"/>
          <w:szCs w:val="24"/>
        </w:rPr>
        <w:t xml:space="preserve"> de lei</w:t>
      </w:r>
      <w:r w:rsidR="00F76285" w:rsidRPr="00F93899">
        <w:rPr>
          <w:rFonts w:ascii="Arial" w:eastAsia="Calibri" w:hAnsi="Arial" w:cs="Arial"/>
          <w:sz w:val="24"/>
          <w:szCs w:val="24"/>
        </w:rPr>
        <w:t xml:space="preserve"> </w:t>
      </w:r>
      <w:r w:rsidR="00F76285" w:rsidRPr="00001923">
        <w:rPr>
          <w:rFonts w:ascii="Arial" w:eastAsia="Calibri" w:hAnsi="Arial" w:cs="Arial"/>
          <w:sz w:val="24"/>
          <w:szCs w:val="24"/>
        </w:rPr>
        <w:t>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001923" w:rsidRDefault="00F76285" w:rsidP="0000192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AD7587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F76285" w:rsidRPr="00001923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 w:rsidRPr="00001923">
        <w:rPr>
          <w:rFonts w:ascii="Arial" w:eastAsia="Calibri" w:hAnsi="Arial" w:cs="Arial"/>
          <w:sz w:val="24"/>
          <w:szCs w:val="24"/>
        </w:rPr>
        <w:t>, conforme artigo 48 da Lei Orgânica do Município de Mogi Mirim.</w:t>
      </w: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704DCA" w:rsidRPr="00001923">
        <w:rPr>
          <w:rFonts w:ascii="Arial" w:eastAsia="Calibri" w:hAnsi="Arial" w:cs="Arial"/>
          <w:sz w:val="24"/>
          <w:szCs w:val="24"/>
        </w:rPr>
        <w:t>Ao contrário do afirmado junto ao parecer da SGP, a presente medida não visa fomentar atribuições à Secretaria de Saúde, mas sim conceder publicidade aos atos administrativos, conforme determina inclusive o artigo 37, §1º da Constituição Federal.</w:t>
      </w:r>
    </w:p>
    <w:p w:rsidR="00F93899" w:rsidRPr="00001923" w:rsidRDefault="00F93899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01923">
        <w:rPr>
          <w:rFonts w:ascii="Arial" w:hAnsi="Arial" w:cs="Arial"/>
          <w:sz w:val="24"/>
          <w:szCs w:val="24"/>
        </w:rPr>
        <w:t xml:space="preserve">Não se vislumbra qualquer inconstitucionalidade </w:t>
      </w:r>
      <w:r w:rsidRPr="00001923">
        <w:rPr>
          <w:rFonts w:ascii="Arial" w:hAnsi="Arial" w:cs="Arial"/>
          <w:bCs/>
          <w:sz w:val="24"/>
          <w:szCs w:val="24"/>
        </w:rPr>
        <w:t>em normas que,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prestigiando o princípio da publicidade, dispõem e pormenorizam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transparência governamental</w:t>
      </w:r>
      <w:r w:rsidRPr="000019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Ao contrário do até então preconizado, a iniciativa legislativa</w:t>
      </w:r>
      <w:r w:rsidRPr="00001923">
        <w:rPr>
          <w:rFonts w:ascii="Arial" w:hAnsi="Arial" w:cs="Arial"/>
          <w:sz w:val="24"/>
          <w:szCs w:val="24"/>
        </w:rPr>
        <w:t xml:space="preserve"> legislativa do Chefe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Executivo </w:t>
      </w:r>
      <w:r>
        <w:rPr>
          <w:rFonts w:ascii="Arial" w:hAnsi="Arial" w:cs="Arial"/>
          <w:sz w:val="24"/>
          <w:szCs w:val="24"/>
        </w:rPr>
        <w:t>deve ser entendida como de</w:t>
      </w:r>
      <w:r w:rsidRPr="00001923">
        <w:rPr>
          <w:rFonts w:ascii="Arial" w:hAnsi="Arial" w:cs="Arial"/>
          <w:sz w:val="24"/>
          <w:szCs w:val="24"/>
        </w:rPr>
        <w:t xml:space="preserve"> matéria de </w:t>
      </w:r>
      <w:r w:rsidRPr="00001923">
        <w:rPr>
          <w:rFonts w:ascii="Arial" w:hAnsi="Arial" w:cs="Arial"/>
          <w:bCs/>
          <w:sz w:val="24"/>
          <w:szCs w:val="24"/>
        </w:rPr>
        <w:t>direito excepcional</w:t>
      </w:r>
      <w:r w:rsidRPr="00001923">
        <w:rPr>
          <w:rFonts w:ascii="Arial" w:hAnsi="Arial" w:cs="Arial"/>
          <w:sz w:val="24"/>
          <w:szCs w:val="24"/>
        </w:rPr>
        <w:t>, sendo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impositiva sua </w:t>
      </w:r>
      <w:r w:rsidRPr="00001923">
        <w:rPr>
          <w:rFonts w:ascii="Arial" w:hAnsi="Arial" w:cs="Arial"/>
          <w:bCs/>
          <w:sz w:val="24"/>
          <w:szCs w:val="24"/>
        </w:rPr>
        <w:t xml:space="preserve">interpretação restritiva </w:t>
      </w:r>
      <w:r w:rsidRPr="00001923">
        <w:rPr>
          <w:rFonts w:ascii="Arial" w:hAnsi="Arial" w:cs="Arial"/>
          <w:sz w:val="24"/>
          <w:szCs w:val="24"/>
        </w:rPr>
        <w:t>que não permite dilatação nem presunção.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001923">
        <w:rPr>
          <w:rFonts w:ascii="Arial" w:hAnsi="Arial" w:cs="Arial"/>
          <w:bCs/>
          <w:sz w:val="24"/>
          <w:szCs w:val="24"/>
        </w:rPr>
        <w:t xml:space="preserve">Regra </w:t>
      </w:r>
      <w:r w:rsidRPr="00001923">
        <w:rPr>
          <w:rFonts w:ascii="Arial" w:hAnsi="Arial" w:cs="Arial"/>
          <w:sz w:val="24"/>
          <w:szCs w:val="24"/>
        </w:rPr>
        <w:t>é a iniciativa legislativa pertencente ao Poder Legislativo ou comum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ou concorrente; </w:t>
      </w:r>
      <w:r w:rsidRPr="00001923">
        <w:rPr>
          <w:rFonts w:ascii="Arial" w:hAnsi="Arial" w:cs="Arial"/>
          <w:bCs/>
          <w:sz w:val="24"/>
          <w:szCs w:val="24"/>
        </w:rPr>
        <w:t xml:space="preserve">exceção </w:t>
      </w:r>
      <w:r w:rsidRPr="00001923">
        <w:rPr>
          <w:rFonts w:ascii="Arial" w:hAnsi="Arial" w:cs="Arial"/>
          <w:sz w:val="24"/>
          <w:szCs w:val="24"/>
        </w:rPr>
        <w:t>é a atribuição de reserva a certa categoria de agentes,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entidades e órgãos, e que, por isso, não se presume. 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 já se manifestou o Supremo Tribunal Federal: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“A disciplina jurídica do processo de elaboração das leis tem matriz essencialmente constitucional, pois residem, no texto da Constituição - e nele somente -, os princípios que regem o procedimento de formação legislativa, inclusive aqueles que concernem ao exercício do poder de iniciativa das leis. - A teoria geral do processo legislativo, ao versar a questão da iniciativa vinculada das leis, adverte que esta somente se legitima - considerada a qualificação eminentemente constitucional do poder de agir em sede legislativa - se houver, no texto da própria Constituição, dispositivo que, de modo expresso, a preveja. Em consequência desse modelo constitucional, nenhuma lei, no sistema de direito positivo vigente no Brasil, dispõe de autoridade suficiente para impor, ao Chefe do Executivo, o exercício compulsório do poder de iniciativa legislativa” (STF, MS 22.690-CE, Tribunal Pleno, Rel. Min. Celso de Mello, 17-04-1997, v.u., DJ 07-12-2006, p. 36).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01923">
        <w:rPr>
          <w:rFonts w:ascii="Arial" w:hAnsi="Arial" w:cs="Arial"/>
          <w:sz w:val="24"/>
          <w:szCs w:val="24"/>
        </w:rPr>
        <w:t>Com efeito, a lei que disciplina a publicidade administrativa, prevista no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art. 37, </w:t>
      </w:r>
      <w:r w:rsidRPr="00001923">
        <w:rPr>
          <w:rFonts w:ascii="Arial" w:hAnsi="Arial" w:cs="Arial"/>
          <w:i/>
          <w:iCs/>
          <w:sz w:val="24"/>
          <w:szCs w:val="24"/>
        </w:rPr>
        <w:t>caput</w:t>
      </w:r>
      <w:r w:rsidRPr="00001923">
        <w:rPr>
          <w:rFonts w:ascii="Arial" w:hAnsi="Arial" w:cs="Arial"/>
          <w:sz w:val="24"/>
          <w:szCs w:val="24"/>
        </w:rPr>
        <w:t>, da Constituição Federal e que vincula todos os entes federativos,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não demanda iniciativa reservada do Chefe do Poder Executivo. 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Corroborando o entendimento, transcrevemos as seguintes decisões exaradas pelos Tribunais pátrios: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“1. Lei disciplinadora de atos de publicidade do Estado, que independem de reserva de iniciativa do Chefe do Poder Executivo estadual, visto que não versam sobre criação, estruturação e atribuições dos órgãos da Administração Pública. Não-incidência de vedação constitucional (CF, artigo 61, § 1º, II, e). (...)” (STF, ADIMC 2.472-RS, Tribunal Pleno, Rel. Min. Maurício Correa, 12-03-2002, v.u., DJ 03-05-2002, p. 13).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 xml:space="preserve"> “</w:t>
      </w:r>
      <w:r w:rsidRPr="00001923">
        <w:rPr>
          <w:rFonts w:ascii="Arial" w:hAnsi="Arial" w:cs="Arial"/>
          <w:bCs/>
          <w:i/>
          <w:sz w:val="24"/>
          <w:szCs w:val="24"/>
        </w:rPr>
        <w:t xml:space="preserve">AÇÃO DIRETA DE INCONSTITUCIONALIDADE – Lei Municipal nº 14.180, de 18-52018, de origem parlamentar, que ‘dispõe sobre a publicação de extratos, no diário oficial, conforme especifica e dá outras providências’ – Alegada usurpação de competência privativa da União para legislar sobre normas gerais de licitação e contratação pública – Inocorrência. </w:t>
      </w:r>
      <w:r w:rsidRPr="00001923">
        <w:rPr>
          <w:rFonts w:ascii="Arial" w:hAnsi="Arial" w:cs="Arial"/>
          <w:i/>
          <w:sz w:val="24"/>
          <w:szCs w:val="24"/>
        </w:rPr>
        <w:t xml:space="preserve">Preliminar. Análise de ofensa a dispositivos da Lei nº 8.666/93 e do Decreto Federal nº 93.872/86 – Inadmissibilidade – Ausência de parametricidade. Mérito. Lei que impõe à Administração Pública publicar no diário oficial extrato contendo dados referentes a celebração de contratos, convênios, aditivos e prorrogação de prazo contratual está amparada no princípio constitucional da publicidade dos atos estatais, previsto no art. 111, </w:t>
      </w:r>
      <w:r w:rsidRPr="00001923">
        <w:rPr>
          <w:rFonts w:ascii="Arial" w:hAnsi="Arial" w:cs="Arial"/>
          <w:i/>
          <w:iCs/>
          <w:sz w:val="24"/>
          <w:szCs w:val="24"/>
        </w:rPr>
        <w:t>caput</w:t>
      </w:r>
      <w:r w:rsidRPr="00001923">
        <w:rPr>
          <w:rFonts w:ascii="Arial" w:hAnsi="Arial" w:cs="Arial"/>
          <w:i/>
          <w:sz w:val="24"/>
          <w:szCs w:val="24"/>
        </w:rPr>
        <w:t>, da CE/89, reprodução do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art. 37, caput, da CF/88. A indisponibilidade do interesse público obriga a transparência na atividade administrativa, já que interessa a toda à coletividade informações sobre o controle dos gastos públicos. É modo de concretizar o princípio da transparência administrativa revelar na imprensa oficial dados de interesse geral.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Ação improcedente, cassada a liminar”. (TJSP, ADI n. 2190686-85.2018.8.26.0000, Rel. Des. Carlos Bueno, julgada em 13/02/2019).</w:t>
      </w: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001923">
        <w:rPr>
          <w:rFonts w:ascii="Arial" w:eastAsia="Calibri" w:hAnsi="Arial" w:cs="Arial"/>
          <w:sz w:val="24"/>
          <w:szCs w:val="24"/>
        </w:rPr>
        <w:t>pela</w:t>
      </w:r>
      <w:r w:rsidR="00417288">
        <w:rPr>
          <w:rFonts w:ascii="Arial" w:eastAsia="Calibri" w:hAnsi="Arial" w:cs="Arial"/>
          <w:sz w:val="24"/>
          <w:szCs w:val="24"/>
        </w:rPr>
        <w:t xml:space="preserve"> Sr</w:t>
      </w:r>
      <w:r w:rsidR="0000192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001923">
        <w:rPr>
          <w:rFonts w:ascii="Arial" w:eastAsia="Calibri" w:hAnsi="Arial" w:cs="Arial"/>
          <w:sz w:val="24"/>
          <w:szCs w:val="24"/>
        </w:rPr>
        <w:t>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01923" w:rsidRPr="00A902D5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001923">
        <w:rPr>
          <w:rFonts w:ascii="Arial" w:eastAsia="Calibri" w:hAnsi="Arial" w:cs="Arial"/>
          <w:sz w:val="24"/>
          <w:szCs w:val="24"/>
          <w:highlight w:val="white"/>
        </w:rPr>
        <w:t>30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01923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19" w:rsidRDefault="00453419" w:rsidP="00560F14">
      <w:r>
        <w:separator/>
      </w:r>
    </w:p>
  </w:endnote>
  <w:endnote w:type="continuationSeparator" w:id="1">
    <w:p w:rsidR="00453419" w:rsidRDefault="00453419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19" w:rsidRDefault="00453419" w:rsidP="00560F14">
      <w:r>
        <w:separator/>
      </w:r>
    </w:p>
  </w:footnote>
  <w:footnote w:type="continuationSeparator" w:id="1">
    <w:p w:rsidR="00453419" w:rsidRDefault="00453419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C6619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1923"/>
    <w:rsid w:val="00043FF1"/>
    <w:rsid w:val="0004624F"/>
    <w:rsid w:val="00052C37"/>
    <w:rsid w:val="00053AC7"/>
    <w:rsid w:val="000A5D25"/>
    <w:rsid w:val="000E015F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3191"/>
    <w:rsid w:val="00453419"/>
    <w:rsid w:val="004550EF"/>
    <w:rsid w:val="004764D3"/>
    <w:rsid w:val="00481F09"/>
    <w:rsid w:val="004D46D3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C5A50"/>
    <w:rsid w:val="00BE2E9A"/>
    <w:rsid w:val="00C66190"/>
    <w:rsid w:val="00C7048E"/>
    <w:rsid w:val="00C73EE5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0839"/>
    <w:rsid w:val="00F93899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2021-05-18T15:07:00Z</cp:lastPrinted>
  <dcterms:created xsi:type="dcterms:W3CDTF">2021-06-30T18:09:00Z</dcterms:created>
  <dcterms:modified xsi:type="dcterms:W3CDTF">2021-06-30T18:09:00Z</dcterms:modified>
</cp:coreProperties>
</file>