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01923" w:rsidRPr="00A902D5" w:rsidRDefault="00001923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n.º 0</w:t>
      </w:r>
      <w:r w:rsidR="00F93899">
        <w:rPr>
          <w:rFonts w:ascii="Arial" w:eastAsia="Arial" w:hAnsi="Arial" w:cs="Arial"/>
          <w:b/>
          <w:sz w:val="24"/>
          <w:szCs w:val="24"/>
        </w:rPr>
        <w:t>5</w:t>
      </w:r>
      <w:r w:rsidR="00E26F03">
        <w:rPr>
          <w:rFonts w:ascii="Arial" w:eastAsia="Arial" w:hAnsi="Arial" w:cs="Arial"/>
          <w:b/>
          <w:sz w:val="24"/>
          <w:szCs w:val="24"/>
        </w:rPr>
        <w:t>5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E26F03">
        <w:rPr>
          <w:rFonts w:ascii="Arial" w:eastAsia="Arial" w:hAnsi="Arial" w:cs="Arial"/>
          <w:b/>
          <w:sz w:val="24"/>
          <w:szCs w:val="24"/>
        </w:rPr>
        <w:t>84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F5C46" w:rsidRDefault="006F5C46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01923" w:rsidRPr="00A902D5" w:rsidRDefault="00001923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F93899">
        <w:rPr>
          <w:rFonts w:ascii="Arial" w:eastAsia="Calibri" w:hAnsi="Arial" w:cs="Arial"/>
          <w:sz w:val="24"/>
          <w:szCs w:val="24"/>
        </w:rPr>
        <w:t xml:space="preserve"> apresentado pel</w:t>
      </w:r>
      <w:r w:rsidR="00E26F03">
        <w:rPr>
          <w:rFonts w:ascii="Arial" w:eastAsia="Calibri" w:hAnsi="Arial" w:cs="Arial"/>
          <w:sz w:val="24"/>
          <w:szCs w:val="24"/>
        </w:rPr>
        <w:t>o Exmo</w:t>
      </w:r>
      <w:r w:rsidR="003338E3">
        <w:rPr>
          <w:rFonts w:ascii="Arial" w:eastAsia="Calibri" w:hAnsi="Arial" w:cs="Arial"/>
          <w:sz w:val="24"/>
          <w:szCs w:val="24"/>
        </w:rPr>
        <w:t>. Sr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. Vereador </w:t>
      </w:r>
      <w:r w:rsidR="00E26F03">
        <w:rPr>
          <w:rFonts w:ascii="Arial" w:eastAsia="Calibri" w:hAnsi="Arial" w:cs="Arial"/>
          <w:sz w:val="24"/>
          <w:szCs w:val="24"/>
        </w:rPr>
        <w:t>Tiago César Costa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E26F03">
        <w:rPr>
          <w:rFonts w:ascii="Arial" w:eastAsia="Calibri" w:hAnsi="Arial" w:cs="Arial"/>
          <w:b/>
          <w:sz w:val="24"/>
          <w:szCs w:val="24"/>
        </w:rPr>
        <w:t>DISPÕE SOBRE A TRANSPARÊNCIA NA DESVINCULAÇÃO DA RECEITA DA CONTRIBUIÇÃO ILUMINAÇÃO PÚBLICA (CIP) PARA OUTRAS ÁREAS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F93899">
        <w:rPr>
          <w:rFonts w:ascii="Arial" w:eastAsia="Calibri" w:hAnsi="Arial" w:cs="Arial"/>
          <w:sz w:val="24"/>
          <w:szCs w:val="24"/>
        </w:rPr>
        <w:t xml:space="preserve">O Projeto </w:t>
      </w:r>
      <w:r w:rsidR="00A34579">
        <w:rPr>
          <w:rFonts w:ascii="Arial" w:eastAsia="Calibri" w:hAnsi="Arial" w:cs="Arial"/>
          <w:sz w:val="24"/>
          <w:szCs w:val="24"/>
        </w:rPr>
        <w:t>busca compelir o Município a realizar divulgação dos atos administrativos de desvinculação de receita da contribuição de iluminação pública para outras áreas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6171BF" w:rsidRDefault="00D24F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</w:t>
      </w:r>
      <w:r w:rsidR="0051356B" w:rsidRPr="00A902D5">
        <w:rPr>
          <w:rFonts w:ascii="Arial" w:eastAsia="Calibri" w:hAnsi="Arial" w:cs="Arial"/>
          <w:sz w:val="24"/>
          <w:szCs w:val="24"/>
        </w:rPr>
        <w:t xml:space="preserve"> tendo o órgão se manifestado </w:t>
      </w:r>
      <w:r w:rsidR="00043FF1" w:rsidRPr="00A902D5">
        <w:rPr>
          <w:rFonts w:ascii="Arial" w:eastAsia="Calibri" w:hAnsi="Arial" w:cs="Arial"/>
          <w:sz w:val="24"/>
          <w:szCs w:val="24"/>
        </w:rPr>
        <w:t>de forma favorável</w:t>
      </w:r>
      <w:r w:rsidR="00A34579">
        <w:rPr>
          <w:rFonts w:ascii="Arial" w:eastAsia="Calibri" w:hAnsi="Arial" w:cs="Arial"/>
          <w:sz w:val="24"/>
          <w:szCs w:val="24"/>
        </w:rPr>
        <w:t xml:space="preserve"> ao Projeto</w:t>
      </w:r>
      <w:r w:rsidR="00043FF1" w:rsidRPr="006171BF">
        <w:rPr>
          <w:rFonts w:ascii="Arial" w:eastAsia="Calibri" w:hAnsi="Arial" w:cs="Arial"/>
          <w:sz w:val="24"/>
          <w:szCs w:val="24"/>
        </w:rPr>
        <w:t>.</w:t>
      </w:r>
    </w:p>
    <w:p w:rsidR="00043FF1" w:rsidRPr="006171BF" w:rsidRDefault="00043FF1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22E7" w:rsidRDefault="00704475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Corroborando com o posicionamento acima firmado, </w:t>
      </w:r>
      <w:r w:rsidR="006F5C46">
        <w:rPr>
          <w:rFonts w:ascii="Arial" w:eastAsia="Calibri" w:hAnsi="Arial" w:cs="Arial"/>
          <w:sz w:val="24"/>
          <w:szCs w:val="24"/>
        </w:rPr>
        <w:t>denota-se que a propositura não encontra óbices perante o ordenamento jurídico para sua regular tramitação</w:t>
      </w:r>
      <w:r w:rsidR="00CD22E7" w:rsidRPr="00A902D5">
        <w:rPr>
          <w:rFonts w:ascii="Arial" w:eastAsia="Calibri" w:hAnsi="Arial" w:cs="Arial"/>
          <w:sz w:val="24"/>
          <w:szCs w:val="24"/>
        </w:rPr>
        <w:t>.</w:t>
      </w:r>
    </w:p>
    <w:p w:rsidR="00CD22E7" w:rsidRPr="00F93899" w:rsidRDefault="00CD22E7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F93899" w:rsidRDefault="00CD22E7" w:rsidP="00CD22E7">
      <w:pPr>
        <w:pStyle w:val="Normal1"/>
        <w:rPr>
          <w:rFonts w:ascii="Arial" w:eastAsia="Calibri" w:hAnsi="Arial" w:cs="Arial"/>
          <w:sz w:val="24"/>
          <w:szCs w:val="24"/>
        </w:rPr>
      </w:pPr>
      <w:r w:rsidRPr="00F93899">
        <w:rPr>
          <w:rFonts w:ascii="Arial" w:eastAsia="Calibri" w:hAnsi="Arial" w:cs="Arial"/>
          <w:sz w:val="24"/>
          <w:szCs w:val="24"/>
        </w:rPr>
        <w:tab/>
      </w:r>
      <w:r w:rsidR="00D24FC6" w:rsidRPr="00F93899">
        <w:rPr>
          <w:rFonts w:ascii="Arial" w:eastAsia="Calibri" w:hAnsi="Arial" w:cs="Arial"/>
          <w:sz w:val="24"/>
          <w:szCs w:val="24"/>
        </w:rPr>
        <w:t>Vejamos:</w:t>
      </w:r>
    </w:p>
    <w:p w:rsidR="00D35616" w:rsidRPr="00F93899" w:rsidRDefault="00D3561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Pr="00001923" w:rsidRDefault="004550EF" w:rsidP="00001923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F93899">
        <w:rPr>
          <w:rFonts w:ascii="Arial" w:eastAsia="Calibri" w:hAnsi="Arial" w:cs="Arial"/>
          <w:sz w:val="24"/>
          <w:szCs w:val="24"/>
        </w:rPr>
        <w:tab/>
      </w:r>
      <w:r w:rsidR="00F93899" w:rsidRPr="00F93899">
        <w:rPr>
          <w:rFonts w:ascii="Arial" w:eastAsia="Calibri" w:hAnsi="Arial" w:cs="Arial"/>
          <w:sz w:val="24"/>
          <w:szCs w:val="24"/>
        </w:rPr>
        <w:t>Inicialmente e</w:t>
      </w:r>
      <w:r w:rsidR="001A0E90" w:rsidRPr="00F93899">
        <w:rPr>
          <w:rFonts w:ascii="Arial" w:eastAsia="Calibri" w:hAnsi="Arial" w:cs="Arial"/>
          <w:sz w:val="24"/>
          <w:szCs w:val="24"/>
        </w:rPr>
        <w:t xml:space="preserve"> no tocante </w:t>
      </w:r>
      <w:r w:rsidR="00AD7587" w:rsidRPr="00F93899">
        <w:rPr>
          <w:rFonts w:ascii="Arial" w:eastAsia="Calibri" w:hAnsi="Arial" w:cs="Arial"/>
          <w:sz w:val="24"/>
          <w:szCs w:val="24"/>
        </w:rPr>
        <w:t>à iniciativa, e</w:t>
      </w:r>
      <w:r w:rsidR="00F76285" w:rsidRPr="00F93899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</w:t>
      </w:r>
      <w:r w:rsidR="00694B75" w:rsidRPr="00F93899">
        <w:rPr>
          <w:rFonts w:ascii="Arial" w:eastAsia="Calibri" w:hAnsi="Arial" w:cs="Arial"/>
          <w:sz w:val="24"/>
          <w:szCs w:val="24"/>
        </w:rPr>
        <w:t xml:space="preserve"> de lei</w:t>
      </w:r>
      <w:r w:rsidR="00F76285" w:rsidRPr="00F93899">
        <w:rPr>
          <w:rFonts w:ascii="Arial" w:eastAsia="Calibri" w:hAnsi="Arial" w:cs="Arial"/>
          <w:sz w:val="24"/>
          <w:szCs w:val="24"/>
        </w:rPr>
        <w:t xml:space="preserve"> </w:t>
      </w:r>
      <w:r w:rsidR="00F76285" w:rsidRPr="00001923">
        <w:rPr>
          <w:rFonts w:ascii="Arial" w:eastAsia="Calibri" w:hAnsi="Arial" w:cs="Arial"/>
          <w:sz w:val="24"/>
          <w:szCs w:val="24"/>
        </w:rPr>
        <w:t>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001923" w:rsidRDefault="00F76285" w:rsidP="00001923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Pr="00001923" w:rsidRDefault="00AD7587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001923">
        <w:rPr>
          <w:rFonts w:ascii="Arial" w:eastAsia="Calibri" w:hAnsi="Arial" w:cs="Arial"/>
          <w:sz w:val="24"/>
          <w:szCs w:val="24"/>
        </w:rPr>
        <w:tab/>
      </w:r>
      <w:r w:rsidR="00F76285" w:rsidRPr="00001923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 w:rsidRPr="00001923">
        <w:rPr>
          <w:rFonts w:ascii="Arial" w:eastAsia="Calibri" w:hAnsi="Arial" w:cs="Arial"/>
          <w:sz w:val="24"/>
          <w:szCs w:val="24"/>
        </w:rPr>
        <w:t>, conforme artigo 48 da Lei Orgânica do Município de Mogi Mirim.</w:t>
      </w:r>
    </w:p>
    <w:p w:rsidR="001A0E90" w:rsidRPr="00001923" w:rsidRDefault="001A0E90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1A0E90" w:rsidRPr="00001923" w:rsidRDefault="001A0E90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001923">
        <w:rPr>
          <w:rFonts w:ascii="Arial" w:eastAsia="Calibri" w:hAnsi="Arial" w:cs="Arial"/>
          <w:sz w:val="24"/>
          <w:szCs w:val="24"/>
        </w:rPr>
        <w:tab/>
      </w:r>
      <w:r w:rsidR="00704DCA" w:rsidRPr="00001923">
        <w:rPr>
          <w:rFonts w:ascii="Arial" w:eastAsia="Calibri" w:hAnsi="Arial" w:cs="Arial"/>
          <w:sz w:val="24"/>
          <w:szCs w:val="24"/>
        </w:rPr>
        <w:t>A</w:t>
      </w:r>
      <w:r w:rsidR="006F5C46">
        <w:rPr>
          <w:rFonts w:ascii="Arial" w:eastAsia="Calibri" w:hAnsi="Arial" w:cs="Arial"/>
          <w:sz w:val="24"/>
          <w:szCs w:val="24"/>
        </w:rPr>
        <w:t xml:space="preserve"> proposta visa </w:t>
      </w:r>
      <w:r w:rsidR="00704DCA" w:rsidRPr="00001923">
        <w:rPr>
          <w:rFonts w:ascii="Arial" w:eastAsia="Calibri" w:hAnsi="Arial" w:cs="Arial"/>
          <w:sz w:val="24"/>
          <w:szCs w:val="24"/>
        </w:rPr>
        <w:t>conceder publicidade aos atos administrativos, conforme determina o artigo 37, §1º da Constituição Federal</w:t>
      </w:r>
      <w:r w:rsidR="006F5C46">
        <w:rPr>
          <w:rFonts w:ascii="Arial" w:eastAsia="Calibri" w:hAnsi="Arial" w:cs="Arial"/>
          <w:sz w:val="24"/>
          <w:szCs w:val="24"/>
        </w:rPr>
        <w:t xml:space="preserve"> concedendo maior transparência à destinação das receitas oriundas da CIP</w:t>
      </w:r>
      <w:r w:rsidR="00704DCA" w:rsidRPr="00001923">
        <w:rPr>
          <w:rFonts w:ascii="Arial" w:eastAsia="Calibri" w:hAnsi="Arial" w:cs="Arial"/>
          <w:sz w:val="24"/>
          <w:szCs w:val="24"/>
        </w:rPr>
        <w:t>.</w:t>
      </w:r>
    </w:p>
    <w:p w:rsidR="00F93899" w:rsidRPr="00001923" w:rsidRDefault="00F93899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01923">
        <w:rPr>
          <w:rFonts w:ascii="Arial" w:hAnsi="Arial" w:cs="Arial"/>
          <w:sz w:val="24"/>
          <w:szCs w:val="24"/>
        </w:rPr>
        <w:t xml:space="preserve">Não se vislumbra qualquer inconstitucionalidade </w:t>
      </w:r>
      <w:r w:rsidRPr="00001923">
        <w:rPr>
          <w:rFonts w:ascii="Arial" w:hAnsi="Arial" w:cs="Arial"/>
          <w:bCs/>
          <w:sz w:val="24"/>
          <w:szCs w:val="24"/>
        </w:rPr>
        <w:t>em normas que,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01923">
        <w:rPr>
          <w:rFonts w:ascii="Arial" w:hAnsi="Arial" w:cs="Arial"/>
          <w:bCs/>
          <w:sz w:val="24"/>
          <w:szCs w:val="24"/>
        </w:rPr>
        <w:t>prestigiando o princípio da publicidade, dispõem e pormenorizam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01923">
        <w:rPr>
          <w:rFonts w:ascii="Arial" w:hAnsi="Arial" w:cs="Arial"/>
          <w:bCs/>
          <w:sz w:val="24"/>
          <w:szCs w:val="24"/>
        </w:rPr>
        <w:t>transparência governamental</w:t>
      </w:r>
      <w:r w:rsidRPr="000019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Ao contrário do até então preconizado, a iniciativa </w:t>
      </w:r>
      <w:r w:rsidRPr="00001923">
        <w:rPr>
          <w:rFonts w:ascii="Arial" w:hAnsi="Arial" w:cs="Arial"/>
          <w:sz w:val="24"/>
          <w:szCs w:val="24"/>
        </w:rPr>
        <w:t>legislativa do Chefe do Poder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Executivo </w:t>
      </w:r>
      <w:r>
        <w:rPr>
          <w:rFonts w:ascii="Arial" w:hAnsi="Arial" w:cs="Arial"/>
          <w:sz w:val="24"/>
          <w:szCs w:val="24"/>
        </w:rPr>
        <w:t>deve ser entendida como de</w:t>
      </w:r>
      <w:r w:rsidRPr="00001923">
        <w:rPr>
          <w:rFonts w:ascii="Arial" w:hAnsi="Arial" w:cs="Arial"/>
          <w:sz w:val="24"/>
          <w:szCs w:val="24"/>
        </w:rPr>
        <w:t xml:space="preserve"> matéria de </w:t>
      </w:r>
      <w:r w:rsidRPr="00001923">
        <w:rPr>
          <w:rFonts w:ascii="Arial" w:hAnsi="Arial" w:cs="Arial"/>
          <w:bCs/>
          <w:sz w:val="24"/>
          <w:szCs w:val="24"/>
        </w:rPr>
        <w:t>direito excepcional</w:t>
      </w:r>
      <w:r w:rsidRPr="00001923">
        <w:rPr>
          <w:rFonts w:ascii="Arial" w:hAnsi="Arial" w:cs="Arial"/>
          <w:sz w:val="24"/>
          <w:szCs w:val="24"/>
        </w:rPr>
        <w:t>, sendo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impositiva sua </w:t>
      </w:r>
      <w:r w:rsidRPr="00001923">
        <w:rPr>
          <w:rFonts w:ascii="Arial" w:hAnsi="Arial" w:cs="Arial"/>
          <w:bCs/>
          <w:sz w:val="24"/>
          <w:szCs w:val="24"/>
        </w:rPr>
        <w:t xml:space="preserve">interpretação restritiva </w:t>
      </w:r>
      <w:r w:rsidRPr="00001923">
        <w:rPr>
          <w:rFonts w:ascii="Arial" w:hAnsi="Arial" w:cs="Arial"/>
          <w:sz w:val="24"/>
          <w:szCs w:val="24"/>
        </w:rPr>
        <w:t>que não permite dilatação nem presunção.</w:t>
      </w: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Pr="00001923">
        <w:rPr>
          <w:rFonts w:ascii="Arial" w:hAnsi="Arial" w:cs="Arial"/>
          <w:bCs/>
          <w:sz w:val="24"/>
          <w:szCs w:val="24"/>
        </w:rPr>
        <w:t xml:space="preserve">Regra </w:t>
      </w:r>
      <w:r w:rsidRPr="00001923">
        <w:rPr>
          <w:rFonts w:ascii="Arial" w:hAnsi="Arial" w:cs="Arial"/>
          <w:sz w:val="24"/>
          <w:szCs w:val="24"/>
        </w:rPr>
        <w:t>é a iniciativa legislativa pertencente ao Poder Legislativo ou comum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ou concorrente; </w:t>
      </w:r>
      <w:r w:rsidRPr="00001923">
        <w:rPr>
          <w:rFonts w:ascii="Arial" w:hAnsi="Arial" w:cs="Arial"/>
          <w:bCs/>
          <w:sz w:val="24"/>
          <w:szCs w:val="24"/>
        </w:rPr>
        <w:t xml:space="preserve">exceção </w:t>
      </w:r>
      <w:r w:rsidRPr="00001923">
        <w:rPr>
          <w:rFonts w:ascii="Arial" w:hAnsi="Arial" w:cs="Arial"/>
          <w:sz w:val="24"/>
          <w:szCs w:val="24"/>
        </w:rPr>
        <w:t>é a atribuição de reserva a certa categoria de agentes,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entidades e órgãos, e que, por isso, não se presume. 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  <w:t>Neste sentido já se manifestou o Supremo Tribunal Federal:</w:t>
      </w: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>“A disciplina jurídica do processo de elaboração das leis tem matriz essencialmente constitucional, pois residem, no texto da Constituição - e nele somente -, os princípios que regem o procedimento de formação legislativa, inclusive aqueles que concernem ao exercício do poder de iniciativa das leis. - A teoria geral do processo legislativo, ao versar a questão da iniciativa vinculada das leis, adverte que esta somente se legitima - considerada a qualificação eminentemente constitucional do poder de agir em sede legislativa - se houver, no texto da própria Constituição, dispositivo que, de modo expresso, a preveja. Em consequência desse modelo constitucional, nenhuma lei, no sistema de direito positivo vigente no Brasil, dispõe de autoridade suficiente para impor, ao Chefe do Executivo, o exercício compulsório do poder de iniciativa legislativa” (STF, MS 22.690-CE, Tribunal Pleno, Rel. Min. Celso de Mello, 17-04-1997, v.u., DJ 07-12-2006, p. 36).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sz w:val="24"/>
          <w:szCs w:val="24"/>
        </w:rPr>
      </w:pP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Corroborando o entendimento, transcrevemos as seguintes decisões exaradas pelos Tribunais pátrios: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>“1. Lei disciplinadora de atos de publicidade do Estado, que independem de reserva de iniciativa do Chefe do Poder Executivo estadual, visto que não versam sobre criação, estruturação e atribuições dos órgãos da Administração Pública. Não-incidência de vedação constitucional (CF, artigo 61, § 1º, II, e). (...)” (STF, ADIMC 2.472-RS, Tribunal Pleno, Rel. Min. Maurício Correa, 12-03-2002, v.u., DJ 03-05-2002, p. 13).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</w:p>
    <w:p w:rsid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 xml:space="preserve"> “</w:t>
      </w:r>
      <w:r w:rsidRPr="00001923">
        <w:rPr>
          <w:rFonts w:ascii="Arial" w:hAnsi="Arial" w:cs="Arial"/>
          <w:bCs/>
          <w:i/>
          <w:sz w:val="24"/>
          <w:szCs w:val="24"/>
        </w:rPr>
        <w:t xml:space="preserve">AÇÃO DIRETA DE INCONSTITUCIONALIDADE – Lei Municipal nº 14.180, de 18-52018, de origem parlamentar, que ‘dispõe sobre a </w:t>
      </w:r>
      <w:r w:rsidRPr="00001923">
        <w:rPr>
          <w:rFonts w:ascii="Arial" w:hAnsi="Arial" w:cs="Arial"/>
          <w:bCs/>
          <w:i/>
          <w:sz w:val="24"/>
          <w:szCs w:val="24"/>
        </w:rPr>
        <w:lastRenderedPageBreak/>
        <w:t xml:space="preserve">publicação de extratos, no diário oficial, conforme especifica e dá outras providências’ – Alegada usurpação de competência privativa da União para legislar sobre normas gerais de licitação e contratação pública – Inocorrência. </w:t>
      </w:r>
      <w:r w:rsidRPr="00001923">
        <w:rPr>
          <w:rFonts w:ascii="Arial" w:hAnsi="Arial" w:cs="Arial"/>
          <w:i/>
          <w:sz w:val="24"/>
          <w:szCs w:val="24"/>
        </w:rPr>
        <w:t xml:space="preserve">Preliminar. Análise de ofensa a dispositivos da Lei nº 8.666/93 e do Decreto Federal nº 93.872/86 – Inadmissibilidade – Ausência de parametricidade. Mérito. Lei que impõe à Administração Pública publicar no diário oficial extrato contendo dados referentes a celebração de contratos, convênios, aditivos e prorrogação de prazo contratual está amparada no princípio constitucional da publicidade dos atos estatais, previsto no art. 111, </w:t>
      </w:r>
      <w:r w:rsidRPr="00001923">
        <w:rPr>
          <w:rFonts w:ascii="Arial" w:hAnsi="Arial" w:cs="Arial"/>
          <w:i/>
          <w:iCs/>
          <w:sz w:val="24"/>
          <w:szCs w:val="24"/>
        </w:rPr>
        <w:t>caput</w:t>
      </w:r>
      <w:r w:rsidRPr="00001923">
        <w:rPr>
          <w:rFonts w:ascii="Arial" w:hAnsi="Arial" w:cs="Arial"/>
          <w:i/>
          <w:sz w:val="24"/>
          <w:szCs w:val="24"/>
        </w:rPr>
        <w:t>, da CE/89, reprodução do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>art. 37, caput, da CF/88. A indisponibilidade do interesse público obriga a transparência na atividade administrativa, já que interessa a toda à coletividade informações sobre o controle dos gastos públicos. É modo de concretizar o princípio da transparência administrativa revelar na imprensa oficial dados de interesse geral.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>Ação improcedente, cassada a liminar”. (TJSP, ADI n. 2190686-85.2018.8.26.0000, Rel. Des. Carlos Bueno, julgada em 13/02/2019).</w:t>
      </w:r>
    </w:p>
    <w:p w:rsidR="00001923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6F5C46">
        <w:rPr>
          <w:rFonts w:ascii="Arial" w:eastAsia="Calibri" w:hAnsi="Arial" w:cs="Arial"/>
          <w:sz w:val="24"/>
          <w:szCs w:val="24"/>
        </w:rPr>
        <w:t>pelo</w:t>
      </w:r>
      <w:r w:rsidR="00417288">
        <w:rPr>
          <w:rFonts w:ascii="Arial" w:eastAsia="Calibri" w:hAnsi="Arial" w:cs="Arial"/>
          <w:sz w:val="24"/>
          <w:szCs w:val="24"/>
        </w:rPr>
        <w:t xml:space="preserve"> Sr. Vereador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01923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F5C46" w:rsidRDefault="006F5C46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01923" w:rsidRPr="00A902D5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Default="00D2793B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01923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F5C46" w:rsidRDefault="006F5C4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F5C46" w:rsidRDefault="006F5C4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F5C46" w:rsidRPr="00A902D5" w:rsidRDefault="006F5C4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01923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6F5C46">
        <w:rPr>
          <w:rFonts w:ascii="Arial" w:eastAsia="Calibri" w:hAnsi="Arial" w:cs="Arial"/>
          <w:sz w:val="24"/>
          <w:szCs w:val="24"/>
          <w:highlight w:val="white"/>
        </w:rPr>
        <w:t>12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6F5C46">
        <w:rPr>
          <w:rFonts w:ascii="Arial" w:eastAsia="Calibri" w:hAnsi="Arial" w:cs="Arial"/>
          <w:sz w:val="24"/>
          <w:szCs w:val="24"/>
          <w:highlight w:val="white"/>
        </w:rPr>
        <w:t>jul</w:t>
      </w:r>
      <w:r w:rsidR="00001923">
        <w:rPr>
          <w:rFonts w:ascii="Arial" w:eastAsia="Calibri" w:hAnsi="Arial" w:cs="Arial"/>
          <w:sz w:val="24"/>
          <w:szCs w:val="24"/>
          <w:highlight w:val="white"/>
        </w:rPr>
        <w:t>h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CEF" w:rsidRDefault="00786CEF" w:rsidP="00560F14">
      <w:r>
        <w:separator/>
      </w:r>
    </w:p>
  </w:endnote>
  <w:endnote w:type="continuationSeparator" w:id="1">
    <w:p w:rsidR="00786CEF" w:rsidRDefault="00786CEF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CEF" w:rsidRDefault="00786CEF" w:rsidP="00560F14">
      <w:r>
        <w:separator/>
      </w:r>
    </w:p>
  </w:footnote>
  <w:footnote w:type="continuationSeparator" w:id="1">
    <w:p w:rsidR="00786CEF" w:rsidRDefault="00786CEF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EA31C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01923"/>
    <w:rsid w:val="00043FF1"/>
    <w:rsid w:val="0004624F"/>
    <w:rsid w:val="00052C37"/>
    <w:rsid w:val="00053AC7"/>
    <w:rsid w:val="000A5D25"/>
    <w:rsid w:val="000E015F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A54C9"/>
    <w:rsid w:val="003A5E9B"/>
    <w:rsid w:val="003C0134"/>
    <w:rsid w:val="003C4EC7"/>
    <w:rsid w:val="003E7514"/>
    <w:rsid w:val="003F2DB5"/>
    <w:rsid w:val="00417288"/>
    <w:rsid w:val="00433191"/>
    <w:rsid w:val="00453419"/>
    <w:rsid w:val="004550EF"/>
    <w:rsid w:val="004764D3"/>
    <w:rsid w:val="00481F09"/>
    <w:rsid w:val="004D46D3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6171BF"/>
    <w:rsid w:val="0065717C"/>
    <w:rsid w:val="00672EB6"/>
    <w:rsid w:val="00676042"/>
    <w:rsid w:val="00694B75"/>
    <w:rsid w:val="006B55B9"/>
    <w:rsid w:val="006F5C46"/>
    <w:rsid w:val="00704475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86CEF"/>
    <w:rsid w:val="007944ED"/>
    <w:rsid w:val="007A3015"/>
    <w:rsid w:val="007B07C3"/>
    <w:rsid w:val="007B490E"/>
    <w:rsid w:val="007D52EC"/>
    <w:rsid w:val="00862605"/>
    <w:rsid w:val="008828DB"/>
    <w:rsid w:val="00891261"/>
    <w:rsid w:val="008C0E67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34579"/>
    <w:rsid w:val="00A42BA5"/>
    <w:rsid w:val="00A51067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C5A50"/>
    <w:rsid w:val="00BE2E9A"/>
    <w:rsid w:val="00C66190"/>
    <w:rsid w:val="00C7048E"/>
    <w:rsid w:val="00C73EE5"/>
    <w:rsid w:val="00C9085D"/>
    <w:rsid w:val="00C90D5D"/>
    <w:rsid w:val="00CA7CBB"/>
    <w:rsid w:val="00CD22E7"/>
    <w:rsid w:val="00D00C0A"/>
    <w:rsid w:val="00D21A6A"/>
    <w:rsid w:val="00D24FC6"/>
    <w:rsid w:val="00D2793B"/>
    <w:rsid w:val="00D35616"/>
    <w:rsid w:val="00DB4774"/>
    <w:rsid w:val="00DD5841"/>
    <w:rsid w:val="00DE2BBD"/>
    <w:rsid w:val="00DE5ED2"/>
    <w:rsid w:val="00E154A7"/>
    <w:rsid w:val="00E26F03"/>
    <w:rsid w:val="00EA31CF"/>
    <w:rsid w:val="00EB23CE"/>
    <w:rsid w:val="00EC7DF6"/>
    <w:rsid w:val="00EE2DDB"/>
    <w:rsid w:val="00F76285"/>
    <w:rsid w:val="00F80839"/>
    <w:rsid w:val="00F93899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5581</TotalTime>
  <Pages>5</Pages>
  <Words>955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2021-05-18T15:07:00Z</cp:lastPrinted>
  <dcterms:created xsi:type="dcterms:W3CDTF">2021-07-08T13:10:00Z</dcterms:created>
  <dcterms:modified xsi:type="dcterms:W3CDTF">2021-07-12T11:39:00Z</dcterms:modified>
</cp:coreProperties>
</file>