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391B46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6"/>
          <w:szCs w:val="26"/>
        </w:rPr>
      </w:pPr>
      <w:r w:rsidRPr="00391B46">
        <w:rPr>
          <w:rFonts w:ascii="Arial" w:eastAsia="Arial" w:hAnsi="Arial" w:cs="Arial"/>
          <w:b/>
          <w:sz w:val="26"/>
          <w:szCs w:val="26"/>
        </w:rPr>
        <w:t>PARECER DA COMISSÃO DE JUSTIÇA E REDAÇÃO</w:t>
      </w:r>
    </w:p>
    <w:p w:rsidR="0053636A" w:rsidRPr="00391B46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001923" w:rsidRPr="00391B46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62527F" w:rsidRPr="00391B46" w:rsidRDefault="0062527F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560F14" w:rsidRPr="00391B46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  <w:r w:rsidRPr="00391B46">
        <w:rPr>
          <w:rFonts w:ascii="Arial" w:eastAsia="Arial" w:hAnsi="Arial" w:cs="Arial"/>
          <w:b/>
          <w:sz w:val="26"/>
          <w:szCs w:val="26"/>
        </w:rPr>
        <w:t>Parecer n.º 0</w:t>
      </w:r>
      <w:r w:rsidR="00F93899" w:rsidRPr="00391B46">
        <w:rPr>
          <w:rFonts w:ascii="Arial" w:eastAsia="Arial" w:hAnsi="Arial" w:cs="Arial"/>
          <w:b/>
          <w:sz w:val="26"/>
          <w:szCs w:val="26"/>
        </w:rPr>
        <w:t>5</w:t>
      </w:r>
      <w:r w:rsidR="003225ED" w:rsidRPr="00391B46">
        <w:rPr>
          <w:rFonts w:ascii="Arial" w:eastAsia="Arial" w:hAnsi="Arial" w:cs="Arial"/>
          <w:b/>
          <w:sz w:val="26"/>
          <w:szCs w:val="26"/>
        </w:rPr>
        <w:t>7</w:t>
      </w:r>
      <w:r w:rsidR="0036448D" w:rsidRPr="00391B46">
        <w:rPr>
          <w:rFonts w:ascii="Arial" w:eastAsia="Arial" w:hAnsi="Arial" w:cs="Arial"/>
          <w:b/>
          <w:sz w:val="26"/>
          <w:szCs w:val="26"/>
        </w:rPr>
        <w:t>/2.021</w:t>
      </w:r>
    </w:p>
    <w:p w:rsidR="00560F14" w:rsidRPr="00391B46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  <w:r w:rsidRPr="00391B46">
        <w:rPr>
          <w:rFonts w:ascii="Arial" w:eastAsia="Arial" w:hAnsi="Arial" w:cs="Arial"/>
          <w:b/>
          <w:sz w:val="26"/>
          <w:szCs w:val="26"/>
        </w:rPr>
        <w:t xml:space="preserve">Projeto de Lei n.º </w:t>
      </w:r>
      <w:r w:rsidR="003225ED" w:rsidRPr="00391B46">
        <w:rPr>
          <w:rFonts w:ascii="Arial" w:eastAsia="Arial" w:hAnsi="Arial" w:cs="Arial"/>
          <w:b/>
          <w:sz w:val="26"/>
          <w:szCs w:val="26"/>
        </w:rPr>
        <w:t>95</w:t>
      </w:r>
      <w:r w:rsidR="00507A0B" w:rsidRPr="00391B46">
        <w:rPr>
          <w:rFonts w:ascii="Arial" w:eastAsia="Arial" w:hAnsi="Arial" w:cs="Arial"/>
          <w:b/>
          <w:sz w:val="26"/>
          <w:szCs w:val="26"/>
        </w:rPr>
        <w:t xml:space="preserve"> de 2021</w:t>
      </w:r>
    </w:p>
    <w:p w:rsidR="00560F14" w:rsidRPr="00391B46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53636A" w:rsidRPr="00391B46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62527F" w:rsidRPr="00391B46" w:rsidRDefault="0062527F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001923" w:rsidRPr="00391B46" w:rsidRDefault="00001923" w:rsidP="00A902D5">
      <w:pPr>
        <w:pStyle w:val="Normal1"/>
        <w:spacing w:line="380" w:lineRule="atLeast"/>
        <w:rPr>
          <w:rFonts w:ascii="Arial" w:eastAsia="Arial" w:hAnsi="Arial" w:cs="Arial"/>
          <w:b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  <w:r w:rsidR="00672EB6" w:rsidRPr="00391B46">
        <w:rPr>
          <w:rFonts w:ascii="Arial" w:eastAsia="Calibri" w:hAnsi="Arial" w:cs="Arial"/>
          <w:sz w:val="26"/>
          <w:szCs w:val="26"/>
        </w:rPr>
        <w:tab/>
      </w:r>
      <w:r w:rsidRPr="00391B46">
        <w:rPr>
          <w:rFonts w:ascii="Arial" w:eastAsia="Calibri" w:hAnsi="Arial" w:cs="Arial"/>
          <w:sz w:val="26"/>
          <w:szCs w:val="26"/>
        </w:rPr>
        <w:t xml:space="preserve">Conforme determina o artigo 35 da Resolução n.º 276 de 09 de novembro de 2.010, a Comissão de Justiça e Redação formaliza o presente </w:t>
      </w:r>
      <w:r w:rsidRPr="00391B46">
        <w:rPr>
          <w:rFonts w:ascii="Arial" w:eastAsia="Calibri" w:hAnsi="Arial" w:cs="Arial"/>
          <w:b/>
          <w:sz w:val="26"/>
          <w:szCs w:val="26"/>
        </w:rPr>
        <w:t>PARECER</w:t>
      </w:r>
      <w:r w:rsidRPr="00391B46">
        <w:rPr>
          <w:rFonts w:ascii="Arial" w:eastAsia="Calibri" w:hAnsi="Arial" w:cs="Arial"/>
          <w:sz w:val="26"/>
          <w:szCs w:val="26"/>
        </w:rPr>
        <w:t>, conforme motivos de fato e de direito a seguir expostos:</w:t>
      </w:r>
    </w:p>
    <w:p w:rsidR="00560F14" w:rsidRPr="00391B46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560F14" w:rsidRPr="00391B46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  <w:r w:rsidRPr="00391B46">
        <w:rPr>
          <w:rFonts w:ascii="Arial" w:eastAsia="Calibri" w:hAnsi="Arial" w:cs="Arial"/>
          <w:b/>
          <w:sz w:val="26"/>
          <w:szCs w:val="26"/>
        </w:rPr>
        <w:t>I. Exposição da Matéria</w:t>
      </w:r>
    </w:p>
    <w:p w:rsidR="00560F14" w:rsidRPr="00391B46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560F14" w:rsidRPr="00391B46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  <w:r w:rsidR="003A54C9" w:rsidRPr="00391B46">
        <w:rPr>
          <w:rFonts w:ascii="Arial" w:eastAsia="Calibri" w:hAnsi="Arial" w:cs="Arial"/>
          <w:sz w:val="26"/>
          <w:szCs w:val="26"/>
        </w:rPr>
        <w:t>Trata-se de Projeto de Lei</w:t>
      </w:r>
      <w:r w:rsidR="00F93899" w:rsidRPr="00391B46">
        <w:rPr>
          <w:rFonts w:ascii="Arial" w:eastAsia="Calibri" w:hAnsi="Arial" w:cs="Arial"/>
          <w:sz w:val="26"/>
          <w:szCs w:val="26"/>
        </w:rPr>
        <w:t xml:space="preserve"> apresentado pel</w:t>
      </w:r>
      <w:r w:rsidR="003225ED" w:rsidRPr="00391B46">
        <w:rPr>
          <w:rFonts w:ascii="Arial" w:eastAsia="Calibri" w:hAnsi="Arial" w:cs="Arial"/>
          <w:sz w:val="26"/>
          <w:szCs w:val="26"/>
        </w:rPr>
        <w:t>o Exmo</w:t>
      </w:r>
      <w:r w:rsidR="003338E3" w:rsidRPr="00391B46">
        <w:rPr>
          <w:rFonts w:ascii="Arial" w:eastAsia="Calibri" w:hAnsi="Arial" w:cs="Arial"/>
          <w:sz w:val="26"/>
          <w:szCs w:val="26"/>
        </w:rPr>
        <w:t>. Sr</w:t>
      </w:r>
      <w:r w:rsidR="00312D33" w:rsidRPr="00391B46">
        <w:rPr>
          <w:rFonts w:ascii="Arial" w:eastAsia="Calibri" w:hAnsi="Arial" w:cs="Arial"/>
          <w:sz w:val="26"/>
          <w:szCs w:val="26"/>
        </w:rPr>
        <w:t xml:space="preserve">. Vereador </w:t>
      </w:r>
      <w:r w:rsidR="003225ED" w:rsidRPr="00391B46">
        <w:rPr>
          <w:rFonts w:ascii="Arial" w:eastAsia="Calibri" w:hAnsi="Arial" w:cs="Arial"/>
          <w:sz w:val="26"/>
          <w:szCs w:val="26"/>
        </w:rPr>
        <w:t>Tiago César Costa</w:t>
      </w:r>
      <w:r w:rsidR="00312D33" w:rsidRPr="00391B46">
        <w:rPr>
          <w:rFonts w:ascii="Arial" w:eastAsia="Calibri" w:hAnsi="Arial" w:cs="Arial"/>
          <w:sz w:val="26"/>
          <w:szCs w:val="26"/>
        </w:rPr>
        <w:t xml:space="preserve">, através do qual </w:t>
      </w:r>
      <w:r w:rsidR="0036448D" w:rsidRPr="00391B46">
        <w:rPr>
          <w:rFonts w:ascii="Arial" w:eastAsia="Calibri" w:hAnsi="Arial" w:cs="Arial"/>
          <w:sz w:val="26"/>
          <w:szCs w:val="26"/>
        </w:rPr>
        <w:t>“</w:t>
      </w:r>
      <w:r w:rsidR="0062527F" w:rsidRPr="00391B46">
        <w:rPr>
          <w:rFonts w:ascii="Arial" w:eastAsia="Calibri" w:hAnsi="Arial" w:cs="Arial"/>
          <w:b/>
          <w:sz w:val="26"/>
          <w:szCs w:val="26"/>
        </w:rPr>
        <w:t xml:space="preserve">INSTITUI NO ÂMBITO DO MUNICÍPIO DE MOGI MIRIM A SEMANA EM DEFESA DA DEMOCRACIA DENOMINADA “SEMANA ULYSSES GUIMARÃES”, A SER COMEMORADA ANUALMENTE NA PRIMEIRA SEMANA DO MÊS DE JANEIRO E O DIA EM DEFESA DA DEMOCRACIA A SER COMEMORADO, ANUALMENTE, NO DIA 01 DE JANEIRO, E DÁ OUTRAS PROVIDÊNCIAS </w:t>
      </w:r>
      <w:r w:rsidR="0036448D" w:rsidRPr="00391B46">
        <w:rPr>
          <w:rFonts w:ascii="Arial" w:eastAsia="Calibri" w:hAnsi="Arial" w:cs="Arial"/>
          <w:sz w:val="26"/>
          <w:szCs w:val="26"/>
        </w:rPr>
        <w:t>”.</w:t>
      </w:r>
    </w:p>
    <w:p w:rsidR="00560F14" w:rsidRPr="00391B46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</w:p>
    <w:p w:rsidR="00560F14" w:rsidRPr="00391B46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  <w:r w:rsidR="0062527F" w:rsidRPr="00391B46">
        <w:rPr>
          <w:rFonts w:ascii="Arial" w:eastAsia="Calibri" w:hAnsi="Arial" w:cs="Arial"/>
          <w:sz w:val="26"/>
          <w:szCs w:val="26"/>
        </w:rPr>
        <w:t>O Projeto busca reforçar a importância da democracia através de datas comemorativas no Município, além de implementar um certificado, denominado “Semana Ulysses Guimarães”, a ser entregue aos vereadores, prefeito e vice-prefeito eleitos a cada 4 anos</w:t>
      </w:r>
      <w:r w:rsidR="0036448D" w:rsidRPr="00391B46">
        <w:rPr>
          <w:rFonts w:ascii="Arial" w:eastAsia="Calibri" w:hAnsi="Arial" w:cs="Arial"/>
          <w:sz w:val="26"/>
          <w:szCs w:val="26"/>
        </w:rPr>
        <w:t>.</w:t>
      </w:r>
    </w:p>
    <w:p w:rsidR="0053636A" w:rsidRPr="00391B46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B41EEA" w:rsidRPr="00391B46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62527F" w:rsidRDefault="0062527F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391B46" w:rsidRPr="00391B46" w:rsidRDefault="00391B4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b/>
          <w:sz w:val="26"/>
          <w:szCs w:val="26"/>
        </w:rPr>
        <w:t>II. Do mérito e conclusões do relator</w:t>
      </w:r>
    </w:p>
    <w:p w:rsidR="00560F14" w:rsidRPr="00391B46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043FF1" w:rsidRPr="00391B46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>Inicialmente insta destacar que a</w:t>
      </w:r>
      <w:r w:rsidR="00043FF1" w:rsidRPr="00391B46">
        <w:rPr>
          <w:rFonts w:ascii="Arial" w:eastAsia="Calibri" w:hAnsi="Arial" w:cs="Arial"/>
          <w:sz w:val="26"/>
          <w:szCs w:val="26"/>
        </w:rPr>
        <w:t xml:space="preserve"> Comissão de Justiça e Redação requereu parecer da SGP -</w:t>
      </w:r>
      <w:r w:rsidR="0095208B" w:rsidRPr="00391B46">
        <w:rPr>
          <w:rFonts w:ascii="Arial" w:eastAsia="Calibri" w:hAnsi="Arial" w:cs="Arial"/>
          <w:sz w:val="26"/>
          <w:szCs w:val="26"/>
        </w:rPr>
        <w:t xml:space="preserve"> </w:t>
      </w:r>
      <w:r w:rsidR="00043FF1" w:rsidRPr="00391B46">
        <w:rPr>
          <w:rFonts w:ascii="Arial" w:eastAsia="Calibri" w:hAnsi="Arial" w:cs="Arial"/>
          <w:sz w:val="26"/>
          <w:szCs w:val="26"/>
        </w:rPr>
        <w:t>Soluções em Gestão Pública para avaliação do presente Projeto de Lei,</w:t>
      </w:r>
      <w:r w:rsidR="0051356B" w:rsidRPr="00391B46">
        <w:rPr>
          <w:rFonts w:ascii="Arial" w:eastAsia="Calibri" w:hAnsi="Arial" w:cs="Arial"/>
          <w:sz w:val="26"/>
          <w:szCs w:val="26"/>
        </w:rPr>
        <w:t xml:space="preserve"> tendo o órgão se manifestado </w:t>
      </w:r>
      <w:r w:rsidR="00043FF1" w:rsidRPr="00391B46">
        <w:rPr>
          <w:rFonts w:ascii="Arial" w:eastAsia="Calibri" w:hAnsi="Arial" w:cs="Arial"/>
          <w:sz w:val="26"/>
          <w:szCs w:val="26"/>
        </w:rPr>
        <w:t xml:space="preserve">de forma </w:t>
      </w:r>
      <w:r w:rsidRPr="00391B46">
        <w:rPr>
          <w:rFonts w:ascii="Arial" w:eastAsia="Calibri" w:hAnsi="Arial" w:cs="Arial"/>
          <w:sz w:val="26"/>
          <w:szCs w:val="26"/>
        </w:rPr>
        <w:t>des</w:t>
      </w:r>
      <w:r w:rsidR="00043FF1" w:rsidRPr="00391B46">
        <w:rPr>
          <w:rFonts w:ascii="Arial" w:eastAsia="Calibri" w:hAnsi="Arial" w:cs="Arial"/>
          <w:sz w:val="26"/>
          <w:szCs w:val="26"/>
        </w:rPr>
        <w:t>favorável</w:t>
      </w:r>
      <w:r w:rsidR="00CD22E7" w:rsidRPr="00391B46">
        <w:rPr>
          <w:rFonts w:ascii="Arial" w:eastAsia="Calibri" w:hAnsi="Arial" w:cs="Arial"/>
          <w:sz w:val="26"/>
          <w:szCs w:val="26"/>
        </w:rPr>
        <w:t xml:space="preserve"> por</w:t>
      </w:r>
      <w:r w:rsidR="0095208B" w:rsidRPr="00391B46">
        <w:rPr>
          <w:rFonts w:ascii="Arial" w:eastAsia="Calibri" w:hAnsi="Arial" w:cs="Arial"/>
          <w:sz w:val="26"/>
          <w:szCs w:val="26"/>
        </w:rPr>
        <w:t xml:space="preserve"> conter dispositivos que trazem um ônus indireto ao Executivo, podendo caracterizar-se como norma autorizadora. Destaca ainda que a concessão de honrarias deve ser matéria de decreto legislativo e não lei ordinária.</w:t>
      </w:r>
    </w:p>
    <w:p w:rsidR="00043FF1" w:rsidRPr="00391B46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CD22E7" w:rsidRPr="00391B46" w:rsidRDefault="00D24FC6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>Em que pese os argumentos expostos pelo órgão consultor, esta Comissão tece entendimento contrário ao exposto</w:t>
      </w:r>
      <w:r w:rsidR="00CD22E7" w:rsidRPr="00391B46">
        <w:rPr>
          <w:rFonts w:ascii="Arial" w:eastAsia="Calibri" w:hAnsi="Arial" w:cs="Arial"/>
          <w:sz w:val="26"/>
          <w:szCs w:val="26"/>
        </w:rPr>
        <w:t xml:space="preserve">, </w:t>
      </w:r>
      <w:r w:rsidR="00CD22E7" w:rsidRPr="00391B46">
        <w:rPr>
          <w:rFonts w:ascii="Arial" w:hAnsi="Arial" w:cs="Arial"/>
          <w:bCs/>
          <w:sz w:val="26"/>
          <w:szCs w:val="26"/>
          <w:lang w:eastAsia="ar-SA"/>
        </w:rPr>
        <w:t>já que, em análise técnica da matéria, denota-se que não existem óbices jurídicos para tramitação da propositura</w:t>
      </w:r>
      <w:r w:rsidR="00CD22E7" w:rsidRPr="00391B46">
        <w:rPr>
          <w:rFonts w:ascii="Arial" w:eastAsia="Calibri" w:hAnsi="Arial" w:cs="Arial"/>
          <w:sz w:val="26"/>
          <w:szCs w:val="26"/>
        </w:rPr>
        <w:t>.</w:t>
      </w:r>
    </w:p>
    <w:p w:rsidR="00CD22E7" w:rsidRPr="00391B46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043FF1" w:rsidRPr="00391B46" w:rsidRDefault="00CD22E7" w:rsidP="00CD22E7">
      <w:pPr>
        <w:pStyle w:val="Normal1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  <w:r w:rsidR="00D24FC6" w:rsidRPr="00391B46">
        <w:rPr>
          <w:rFonts w:ascii="Arial" w:eastAsia="Calibri" w:hAnsi="Arial" w:cs="Arial"/>
          <w:sz w:val="26"/>
          <w:szCs w:val="26"/>
        </w:rPr>
        <w:t>Vejamos:</w:t>
      </w:r>
    </w:p>
    <w:p w:rsidR="00D35616" w:rsidRPr="00391B46" w:rsidRDefault="00D3561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95208B" w:rsidRPr="00391B46" w:rsidRDefault="004550EF" w:rsidP="00001923">
      <w:pPr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</w:r>
      <w:r w:rsidR="0095208B" w:rsidRPr="00391B46">
        <w:rPr>
          <w:rFonts w:ascii="Arial" w:eastAsia="Calibri" w:hAnsi="Arial" w:cs="Arial"/>
          <w:sz w:val="26"/>
          <w:szCs w:val="26"/>
        </w:rPr>
        <w:t xml:space="preserve">Conforme exposto pelo autor do Projeto em sua explanação acerca dos apontamentos da consulta acima citada, não existe na minuta ora analisada qualquer dispositivo que autorize o Poder Executivo. </w:t>
      </w:r>
    </w:p>
    <w:p w:rsidR="0095208B" w:rsidRPr="00391B46" w:rsidRDefault="0095208B" w:rsidP="00001923">
      <w:pPr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95208B" w:rsidRPr="00391B46" w:rsidRDefault="0095208B" w:rsidP="00001923">
      <w:pPr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 xml:space="preserve"> </w:t>
      </w:r>
      <w:r w:rsidRPr="00391B46">
        <w:rPr>
          <w:rFonts w:ascii="Arial" w:eastAsia="Calibri" w:hAnsi="Arial" w:cs="Arial"/>
          <w:sz w:val="26"/>
          <w:szCs w:val="26"/>
        </w:rPr>
        <w:tab/>
        <w:t>Os artigos citados dispõem sobre o Poder Legislativo e as medidas que poderão ser adotadas em face das datas comemorativas, não havendo o que se falar em norma autorizativa no presente caso.</w:t>
      </w:r>
    </w:p>
    <w:p w:rsidR="0095208B" w:rsidRPr="00391B46" w:rsidRDefault="0095208B" w:rsidP="00001923">
      <w:pPr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F76285" w:rsidRPr="00391B46" w:rsidRDefault="0095208B" w:rsidP="00001923">
      <w:pPr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 xml:space="preserve"> </w:t>
      </w:r>
      <w:r w:rsidRPr="00391B46">
        <w:rPr>
          <w:rFonts w:ascii="Arial" w:eastAsia="Calibri" w:hAnsi="Arial" w:cs="Arial"/>
          <w:sz w:val="26"/>
          <w:szCs w:val="26"/>
        </w:rPr>
        <w:tab/>
        <w:t xml:space="preserve">Assim, </w:t>
      </w:r>
      <w:r w:rsidR="001A0E90" w:rsidRPr="00391B46">
        <w:rPr>
          <w:rFonts w:ascii="Arial" w:eastAsia="Calibri" w:hAnsi="Arial" w:cs="Arial"/>
          <w:sz w:val="26"/>
          <w:szCs w:val="26"/>
        </w:rPr>
        <w:t xml:space="preserve">no tocante </w:t>
      </w:r>
      <w:r w:rsidR="00AD7587" w:rsidRPr="00391B46">
        <w:rPr>
          <w:rFonts w:ascii="Arial" w:eastAsia="Calibri" w:hAnsi="Arial" w:cs="Arial"/>
          <w:sz w:val="26"/>
          <w:szCs w:val="26"/>
        </w:rPr>
        <w:t>à iniciativa, e</w:t>
      </w:r>
      <w:r w:rsidR="00F76285" w:rsidRPr="00391B46">
        <w:rPr>
          <w:rFonts w:ascii="Arial" w:eastAsia="Calibri" w:hAnsi="Arial" w:cs="Arial"/>
          <w:sz w:val="26"/>
          <w:szCs w:val="26"/>
        </w:rPr>
        <w:t>ncontra-se pacificado hoje o entendimento de que compete ao Poder Legislativo a iniciativa de projetos</w:t>
      </w:r>
      <w:r w:rsidR="00694B75" w:rsidRPr="00391B46">
        <w:rPr>
          <w:rFonts w:ascii="Arial" w:eastAsia="Calibri" w:hAnsi="Arial" w:cs="Arial"/>
          <w:sz w:val="26"/>
          <w:szCs w:val="26"/>
        </w:rPr>
        <w:t xml:space="preserve"> de lei</w:t>
      </w:r>
      <w:r w:rsidR="00F76285" w:rsidRPr="00391B46">
        <w:rPr>
          <w:rFonts w:ascii="Arial" w:eastAsia="Calibri" w:hAnsi="Arial" w:cs="Arial"/>
          <w:sz w:val="26"/>
          <w:szCs w:val="26"/>
        </w:rPr>
        <w:t xml:space="preserve">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391B46" w:rsidRDefault="00F76285" w:rsidP="0000192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F76285" w:rsidRPr="00391B46" w:rsidRDefault="00AD7587" w:rsidP="00001923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lastRenderedPageBreak/>
        <w:tab/>
      </w:r>
      <w:r w:rsidR="00F76285" w:rsidRPr="00391B46">
        <w:rPr>
          <w:rFonts w:ascii="Arial" w:eastAsia="Calibri" w:hAnsi="Arial" w:cs="Arial"/>
          <w:sz w:val="26"/>
          <w:szCs w:val="26"/>
        </w:rPr>
        <w:t>Trata-se de um rol taxativo e expresso, que delimita a iniciativa privativa do Poder Executivo. Não se encontrando nas matérias acima especificadas, as demais podem ser enquadradas como de matéria concorrente</w:t>
      </w:r>
      <w:r w:rsidRPr="00391B46">
        <w:rPr>
          <w:rFonts w:ascii="Arial" w:eastAsia="Calibri" w:hAnsi="Arial" w:cs="Arial"/>
          <w:sz w:val="26"/>
          <w:szCs w:val="26"/>
        </w:rPr>
        <w:t>, conforme artigo 48 da Lei Orgânica do Município de Mogi Mirim.</w:t>
      </w: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  <w:r w:rsidRPr="00391B46">
        <w:rPr>
          <w:rFonts w:ascii="Arial" w:hAnsi="Arial" w:cs="Arial"/>
          <w:bCs/>
          <w:sz w:val="26"/>
          <w:szCs w:val="26"/>
        </w:rPr>
        <w:t xml:space="preserve"> </w:t>
      </w:r>
      <w:r w:rsidRPr="00391B46">
        <w:rPr>
          <w:rFonts w:ascii="Arial" w:hAnsi="Arial" w:cs="Arial"/>
          <w:bCs/>
          <w:sz w:val="26"/>
          <w:szCs w:val="26"/>
        </w:rPr>
        <w:tab/>
      </w:r>
      <w:r w:rsidR="0095208B" w:rsidRPr="00391B46">
        <w:rPr>
          <w:rFonts w:ascii="Arial" w:hAnsi="Arial" w:cs="Arial"/>
          <w:bCs/>
          <w:sz w:val="26"/>
          <w:szCs w:val="26"/>
        </w:rPr>
        <w:t>Aliás, oportuno destacar que a r</w:t>
      </w:r>
      <w:r w:rsidRPr="00391B46">
        <w:rPr>
          <w:rFonts w:ascii="Arial" w:hAnsi="Arial" w:cs="Arial"/>
          <w:bCs/>
          <w:sz w:val="26"/>
          <w:szCs w:val="26"/>
        </w:rPr>
        <w:t xml:space="preserve">egra </w:t>
      </w:r>
      <w:r w:rsidRPr="00391B46">
        <w:rPr>
          <w:rFonts w:ascii="Arial" w:hAnsi="Arial" w:cs="Arial"/>
          <w:sz w:val="26"/>
          <w:szCs w:val="26"/>
        </w:rPr>
        <w:t xml:space="preserve">é a iniciativa legislativa pertencente ao Poder Legislativo ou comum ou concorrente; </w:t>
      </w:r>
      <w:r w:rsidRPr="00391B46">
        <w:rPr>
          <w:rFonts w:ascii="Arial" w:hAnsi="Arial" w:cs="Arial"/>
          <w:bCs/>
          <w:sz w:val="26"/>
          <w:szCs w:val="26"/>
        </w:rPr>
        <w:t xml:space="preserve">exceção </w:t>
      </w:r>
      <w:r w:rsidRPr="00391B46">
        <w:rPr>
          <w:rFonts w:ascii="Arial" w:hAnsi="Arial" w:cs="Arial"/>
          <w:sz w:val="26"/>
          <w:szCs w:val="26"/>
        </w:rPr>
        <w:t xml:space="preserve">é a atribuição de reserva a certa categoria de agentes, entidades e órgãos, e que, por isso, não se presume. </w:t>
      </w: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  <w:r w:rsidRPr="00391B46">
        <w:rPr>
          <w:rFonts w:ascii="Arial" w:hAnsi="Arial" w:cs="Arial"/>
          <w:sz w:val="26"/>
          <w:szCs w:val="26"/>
        </w:rPr>
        <w:t xml:space="preserve"> </w:t>
      </w:r>
      <w:r w:rsidRPr="00391B46">
        <w:rPr>
          <w:rFonts w:ascii="Arial" w:hAnsi="Arial" w:cs="Arial"/>
          <w:sz w:val="26"/>
          <w:szCs w:val="26"/>
        </w:rPr>
        <w:tab/>
        <w:t>Neste sentido já se manifestou o Supremo Tribunal Federal:</w:t>
      </w:r>
    </w:p>
    <w:p w:rsidR="00001923" w:rsidRDefault="00001923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391B46" w:rsidRPr="00391B46" w:rsidRDefault="00391B46" w:rsidP="00001923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i/>
          <w:sz w:val="26"/>
          <w:szCs w:val="26"/>
        </w:rPr>
      </w:pPr>
      <w:r w:rsidRPr="00391B46">
        <w:rPr>
          <w:rFonts w:ascii="Arial" w:hAnsi="Arial" w:cs="Arial"/>
          <w:i/>
          <w:sz w:val="26"/>
          <w:szCs w:val="26"/>
        </w:rPr>
        <w:t>“A disciplina jurídica do processo de elaboração das leis tem matriz essencialmente constitucional, pois residem, no texto da Constituição - e nele somente -, os princípios que regem o procedimento de formação legislativa, inclusive aqueles que concernem ao exercício do poder de iniciativa das leis. - A teoria geral do processo legislativo, ao versar a questão da iniciativa vinculada das leis, adverte que esta somente se legitima - considerada a qualificação eminentemente constitucional do poder de agir em sede legislativa - se houver, no texto da própria Constituição, dispositivo que, de modo expresso, a preveja. Em consequência desse modelo constitucional, nenhuma lei, no sistema de direito positivo vigente no Brasil, dispõe de autoridade suficiente para impor, ao Chefe do Executivo, o exercício compulsório do poder de iniciativa legislativa” (STF, MS 22.690-CE, Tribunal Pleno, Rel. Min. Celso de Mello, 17-04-1997, v.u., DJ 07-12-2006, p. 36).</w:t>
      </w:r>
    </w:p>
    <w:p w:rsidR="00001923" w:rsidRPr="00391B46" w:rsidRDefault="00001923" w:rsidP="00001923">
      <w:pPr>
        <w:autoSpaceDE w:val="0"/>
        <w:autoSpaceDN w:val="0"/>
        <w:adjustRightInd w:val="0"/>
        <w:spacing w:line="380" w:lineRule="atLeast"/>
        <w:ind w:left="1701"/>
        <w:jc w:val="both"/>
        <w:rPr>
          <w:rFonts w:ascii="Arial" w:hAnsi="Arial" w:cs="Arial"/>
          <w:sz w:val="26"/>
          <w:szCs w:val="26"/>
        </w:rPr>
      </w:pPr>
    </w:p>
    <w:p w:rsid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hAnsi="Arial" w:cs="Arial"/>
          <w:sz w:val="26"/>
          <w:szCs w:val="26"/>
        </w:rPr>
      </w:pPr>
    </w:p>
    <w:p w:rsidR="0095208B" w:rsidRPr="00391B46" w:rsidRDefault="00001923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hAnsi="Arial" w:cs="Arial"/>
          <w:sz w:val="26"/>
          <w:szCs w:val="26"/>
        </w:rPr>
        <w:t xml:space="preserve"> </w:t>
      </w:r>
      <w:r w:rsidRPr="00391B46">
        <w:rPr>
          <w:rFonts w:ascii="Arial" w:hAnsi="Arial" w:cs="Arial"/>
          <w:sz w:val="26"/>
          <w:szCs w:val="26"/>
        </w:rPr>
        <w:tab/>
        <w:t xml:space="preserve">Com efeito, </w:t>
      </w:r>
      <w:r w:rsidR="00943AA9" w:rsidRPr="00391B46">
        <w:rPr>
          <w:rFonts w:ascii="Arial" w:eastAsia="Calibri" w:hAnsi="Arial" w:cs="Arial"/>
          <w:sz w:val="26"/>
          <w:szCs w:val="26"/>
        </w:rPr>
        <w:t xml:space="preserve">não </w:t>
      </w:r>
      <w:r w:rsidR="00323692" w:rsidRPr="00391B46">
        <w:rPr>
          <w:rFonts w:ascii="Arial" w:eastAsia="Calibri" w:hAnsi="Arial" w:cs="Arial"/>
          <w:sz w:val="26"/>
          <w:szCs w:val="26"/>
        </w:rPr>
        <w:t>se verifica</w:t>
      </w:r>
      <w:r w:rsidR="00943AA9" w:rsidRPr="00391B46">
        <w:rPr>
          <w:rFonts w:ascii="Arial" w:eastAsia="Calibri" w:hAnsi="Arial" w:cs="Arial"/>
          <w:sz w:val="26"/>
          <w:szCs w:val="26"/>
        </w:rPr>
        <w:t xml:space="preserve"> </w:t>
      </w:r>
      <w:r w:rsidR="0095208B" w:rsidRPr="00391B46">
        <w:rPr>
          <w:rFonts w:ascii="Arial" w:eastAsia="Calibri" w:hAnsi="Arial" w:cs="Arial"/>
          <w:sz w:val="26"/>
          <w:szCs w:val="26"/>
        </w:rPr>
        <w:t>vício de iniciativa por não estar caracterizada norma autorizativa na proposta em análise.</w:t>
      </w:r>
    </w:p>
    <w:p w:rsidR="0095208B" w:rsidRPr="00391B46" w:rsidRDefault="0095208B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95208B" w:rsidRPr="00391B46" w:rsidRDefault="0095208B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  <w:t xml:space="preserve">Já no tocante à concessão de honraria, conforme </w:t>
      </w:r>
      <w:r w:rsidR="00391B46" w:rsidRPr="00391B46">
        <w:rPr>
          <w:rFonts w:ascii="Arial" w:eastAsia="Calibri" w:hAnsi="Arial" w:cs="Arial"/>
          <w:sz w:val="26"/>
          <w:szCs w:val="26"/>
        </w:rPr>
        <w:t>se denota</w:t>
      </w:r>
      <w:r w:rsidRPr="00391B46">
        <w:rPr>
          <w:rFonts w:ascii="Arial" w:eastAsia="Calibri" w:hAnsi="Arial" w:cs="Arial"/>
          <w:sz w:val="26"/>
          <w:szCs w:val="26"/>
        </w:rPr>
        <w:t xml:space="preserve"> junto à redação do artigo </w:t>
      </w:r>
      <w:r w:rsidR="00D8170D" w:rsidRPr="00391B46">
        <w:rPr>
          <w:rFonts w:ascii="Arial" w:eastAsia="Calibri" w:hAnsi="Arial" w:cs="Arial"/>
          <w:sz w:val="26"/>
          <w:szCs w:val="26"/>
        </w:rPr>
        <w:t>7º da Minuta apresentada, a proposta é conceder um Certificado aos eleitos, o que difere de honraria.</w:t>
      </w:r>
    </w:p>
    <w:p w:rsidR="00D8170D" w:rsidRPr="00391B46" w:rsidRDefault="00D8170D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D8170D" w:rsidRPr="00391B46" w:rsidRDefault="00D8170D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  <w:t xml:space="preserve">A honraria, conforme define </w:t>
      </w:r>
      <w:r w:rsidR="00391B46" w:rsidRPr="00391B46">
        <w:rPr>
          <w:rFonts w:ascii="Arial" w:eastAsia="Calibri" w:hAnsi="Arial" w:cs="Arial"/>
          <w:sz w:val="26"/>
          <w:szCs w:val="26"/>
        </w:rPr>
        <w:t>CARNEIRO, “</w:t>
      </w:r>
      <w:r w:rsidR="00391B46" w:rsidRPr="00391B46">
        <w:rPr>
          <w:rFonts w:ascii="Arial" w:eastAsia="Calibri" w:hAnsi="Arial" w:cs="Arial"/>
          <w:i/>
          <w:sz w:val="26"/>
          <w:szCs w:val="26"/>
        </w:rPr>
        <w:t>são homenagens que usualmente parlamentares fazem, através de um procedimento colegiado, com objeto de publicamente tornar uma pessoa, uma data, um local ou fato histórico memorável</w:t>
      </w:r>
      <w:r w:rsidR="00391B46" w:rsidRPr="00391B46">
        <w:rPr>
          <w:rFonts w:ascii="Arial" w:eastAsia="Calibri" w:hAnsi="Arial" w:cs="Arial"/>
          <w:sz w:val="26"/>
          <w:szCs w:val="26"/>
        </w:rPr>
        <w:t>”</w:t>
      </w:r>
      <w:r w:rsidR="00391B46" w:rsidRPr="00391B46">
        <w:rPr>
          <w:rStyle w:val="Refdenotaderodap"/>
          <w:rFonts w:ascii="Arial" w:eastAsia="Calibri" w:hAnsi="Arial" w:cs="Arial"/>
          <w:sz w:val="26"/>
          <w:szCs w:val="26"/>
        </w:rPr>
        <w:footnoteReference w:id="2"/>
      </w:r>
      <w:r w:rsidR="00391B46" w:rsidRPr="00391B46">
        <w:rPr>
          <w:rFonts w:ascii="Arial" w:eastAsia="Calibri" w:hAnsi="Arial" w:cs="Arial"/>
          <w:sz w:val="26"/>
          <w:szCs w:val="26"/>
        </w:rPr>
        <w:t>.</w:t>
      </w:r>
    </w:p>
    <w:p w:rsidR="0095208B" w:rsidRPr="00391B46" w:rsidRDefault="0095208B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391B46" w:rsidRP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  <w:t>Já o certificado, apenas atestará um fato representado pela Semana Ulysses Guimarães, ou seja, de que os mesmos foram eleitos através pleito idôneo, democrático e por meio do voto livre e universal.</w:t>
      </w:r>
    </w:p>
    <w:p w:rsidR="00391B46" w:rsidRP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391B46" w:rsidRP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ab/>
        <w:t>Tratam-se de figuras diversas, não havendo o que se falar em decreto legislativo no presente caso, por não se tratar de uma honraria ou homenagem, mas simplesmente de entrega de um certificado.</w:t>
      </w:r>
    </w:p>
    <w:p w:rsidR="00391B46" w:rsidRP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943AA9" w:rsidRPr="00391B46" w:rsidRDefault="00391B46" w:rsidP="0095208B">
      <w:pPr>
        <w:autoSpaceDE w:val="0"/>
        <w:autoSpaceDN w:val="0"/>
        <w:adjustRightInd w:val="0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 xml:space="preserve"> </w:t>
      </w:r>
      <w:r w:rsidRPr="00391B46">
        <w:rPr>
          <w:rFonts w:ascii="Arial" w:eastAsia="Calibri" w:hAnsi="Arial" w:cs="Arial"/>
          <w:sz w:val="26"/>
          <w:szCs w:val="26"/>
        </w:rPr>
        <w:tab/>
        <w:t xml:space="preserve">Desta forma, não se vislumbram </w:t>
      </w:r>
      <w:r w:rsidR="00943AA9" w:rsidRPr="00391B46">
        <w:rPr>
          <w:rFonts w:ascii="Arial" w:eastAsia="Calibri" w:hAnsi="Arial" w:cs="Arial"/>
          <w:sz w:val="26"/>
          <w:szCs w:val="26"/>
        </w:rPr>
        <w:t>óbices jurídicos para continuidade da</w:t>
      </w:r>
      <w:r w:rsidR="002D707D" w:rsidRPr="00391B46">
        <w:rPr>
          <w:rFonts w:ascii="Arial" w:eastAsia="Calibri" w:hAnsi="Arial" w:cs="Arial"/>
          <w:sz w:val="26"/>
          <w:szCs w:val="26"/>
        </w:rPr>
        <w:t xml:space="preserve"> proposta apresentada </w:t>
      </w:r>
      <w:r w:rsidRPr="00391B46">
        <w:rPr>
          <w:rFonts w:ascii="Arial" w:eastAsia="Calibri" w:hAnsi="Arial" w:cs="Arial"/>
          <w:sz w:val="26"/>
          <w:szCs w:val="26"/>
        </w:rPr>
        <w:t>pelo</w:t>
      </w:r>
      <w:r w:rsidR="00417288" w:rsidRPr="00391B46">
        <w:rPr>
          <w:rFonts w:ascii="Arial" w:eastAsia="Calibri" w:hAnsi="Arial" w:cs="Arial"/>
          <w:sz w:val="26"/>
          <w:szCs w:val="26"/>
        </w:rPr>
        <w:t xml:space="preserve"> Sr. Vereador</w:t>
      </w:r>
      <w:r w:rsidR="002D707D" w:rsidRPr="00391B46">
        <w:rPr>
          <w:rFonts w:ascii="Arial" w:eastAsia="Calibri" w:hAnsi="Arial" w:cs="Arial"/>
          <w:sz w:val="26"/>
          <w:szCs w:val="26"/>
        </w:rPr>
        <w:t>.</w:t>
      </w:r>
    </w:p>
    <w:p w:rsidR="00001923" w:rsidRPr="00391B46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001923" w:rsidRPr="00391B46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2D707D" w:rsidRPr="00391B46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6"/>
          <w:szCs w:val="26"/>
          <w:lang w:eastAsia="ar-SA"/>
        </w:rPr>
      </w:pPr>
      <w:r w:rsidRPr="00391B46">
        <w:rPr>
          <w:rFonts w:ascii="Arial" w:hAnsi="Arial" w:cs="Arial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Pr="00391B46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6"/>
          <w:szCs w:val="26"/>
          <w:lang w:eastAsia="ar-SA"/>
        </w:rPr>
      </w:pPr>
    </w:p>
    <w:p w:rsidR="002D707D" w:rsidRPr="00391B46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6"/>
          <w:szCs w:val="26"/>
          <w:lang w:eastAsia="ar-SA"/>
        </w:rPr>
      </w:pPr>
      <w:r w:rsidRPr="00391B46">
        <w:rPr>
          <w:rFonts w:ascii="Arial" w:hAnsi="Arial" w:cs="Arial"/>
          <w:bCs/>
          <w:sz w:val="26"/>
          <w:szCs w:val="26"/>
          <w:lang w:eastAsia="ar-SA"/>
        </w:rPr>
        <w:tab/>
        <w:t>A Comissão não propõe qualquer alteração ao Projeto de Lei sob análise.</w:t>
      </w:r>
    </w:p>
    <w:p w:rsidR="00D2793B" w:rsidRPr="00391B46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001923" w:rsidRPr="00391B46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001923" w:rsidRPr="00391B46" w:rsidRDefault="0000192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6"/>
          <w:szCs w:val="26"/>
        </w:rPr>
      </w:pPr>
      <w:r w:rsidRPr="00391B46">
        <w:rPr>
          <w:rFonts w:ascii="Arial" w:eastAsia="Calibri" w:hAnsi="Arial" w:cs="Arial"/>
          <w:b/>
          <w:sz w:val="26"/>
          <w:szCs w:val="26"/>
        </w:rPr>
        <w:t xml:space="preserve">IV. Decisão da Comissão </w:t>
      </w:r>
    </w:p>
    <w:p w:rsidR="00560F14" w:rsidRPr="00391B46" w:rsidRDefault="00560F14" w:rsidP="00A902D5">
      <w:pPr>
        <w:pStyle w:val="Normal1"/>
        <w:spacing w:line="380" w:lineRule="atLeast"/>
        <w:rPr>
          <w:rFonts w:ascii="Arial" w:hAnsi="Arial" w:cs="Arial"/>
          <w:sz w:val="26"/>
          <w:szCs w:val="26"/>
        </w:rPr>
      </w:pPr>
    </w:p>
    <w:p w:rsidR="00560F14" w:rsidRPr="00391B46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</w:rPr>
        <w:t>P</w:t>
      </w:r>
      <w:r w:rsidRPr="00391B46">
        <w:rPr>
          <w:rFonts w:ascii="Arial" w:eastAsia="Calibri" w:hAnsi="Arial" w:cs="Arial"/>
          <w:sz w:val="26"/>
          <w:szCs w:val="26"/>
          <w:highlight w:val="white"/>
        </w:rPr>
        <w:t xml:space="preserve">ortanto, </w:t>
      </w:r>
      <w:r w:rsidR="007944ED" w:rsidRPr="00391B46">
        <w:rPr>
          <w:rFonts w:ascii="Arial" w:eastAsia="Calibri" w:hAnsi="Arial" w:cs="Arial"/>
          <w:sz w:val="26"/>
          <w:szCs w:val="26"/>
          <w:highlight w:val="white"/>
        </w:rPr>
        <w:t>a Comissão considera que a presente propositura</w:t>
      </w:r>
      <w:r w:rsidR="00EC7DF6" w:rsidRPr="00391B46">
        <w:rPr>
          <w:rFonts w:ascii="Arial" w:eastAsia="Calibri" w:hAnsi="Arial" w:cs="Arial"/>
          <w:sz w:val="26"/>
          <w:szCs w:val="26"/>
          <w:highlight w:val="white"/>
        </w:rPr>
        <w:t xml:space="preserve"> não</w:t>
      </w:r>
      <w:r w:rsidR="007944ED" w:rsidRPr="00391B46">
        <w:rPr>
          <w:rFonts w:ascii="Arial" w:eastAsia="Calibri" w:hAnsi="Arial" w:cs="Arial"/>
          <w:sz w:val="26"/>
          <w:szCs w:val="26"/>
          <w:highlight w:val="white"/>
        </w:rPr>
        <w:t xml:space="preserve"> apresenta vícios de constitucionalidade,</w:t>
      </w:r>
      <w:r w:rsidR="00EC7DF6" w:rsidRPr="00391B46">
        <w:rPr>
          <w:rFonts w:ascii="Arial" w:eastAsia="Calibri" w:hAnsi="Arial" w:cs="Arial"/>
          <w:sz w:val="26"/>
          <w:szCs w:val="26"/>
          <w:highlight w:val="white"/>
        </w:rPr>
        <w:t xml:space="preserve"> recebendo parecer FAVORÁVEL</w:t>
      </w:r>
      <w:r w:rsidRPr="00391B46">
        <w:rPr>
          <w:rFonts w:ascii="Arial" w:eastAsia="Calibri" w:hAnsi="Arial" w:cs="Arial"/>
          <w:sz w:val="26"/>
          <w:szCs w:val="26"/>
        </w:rPr>
        <w:t>.</w:t>
      </w: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</w:rPr>
      </w:pPr>
    </w:p>
    <w:p w:rsidR="00560F14" w:rsidRPr="00391B46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 xml:space="preserve">Sala das Comissões, em </w:t>
      </w:r>
      <w:r w:rsidR="0002708E">
        <w:rPr>
          <w:rFonts w:ascii="Arial" w:eastAsia="Calibri" w:hAnsi="Arial" w:cs="Arial"/>
          <w:sz w:val="26"/>
          <w:szCs w:val="26"/>
          <w:highlight w:val="white"/>
        </w:rPr>
        <w:t>0</w:t>
      </w:r>
      <w:r w:rsidR="003C5BD8">
        <w:rPr>
          <w:rFonts w:ascii="Arial" w:eastAsia="Calibri" w:hAnsi="Arial" w:cs="Arial"/>
          <w:sz w:val="26"/>
          <w:szCs w:val="26"/>
          <w:highlight w:val="white"/>
        </w:rPr>
        <w:t>5</w:t>
      </w:r>
      <w:r w:rsidR="0036448D" w:rsidRPr="00391B46">
        <w:rPr>
          <w:rFonts w:ascii="Arial" w:eastAsia="Calibri" w:hAnsi="Arial" w:cs="Arial"/>
          <w:sz w:val="26"/>
          <w:szCs w:val="26"/>
          <w:highlight w:val="white"/>
        </w:rPr>
        <w:t xml:space="preserve"> de </w:t>
      </w:r>
      <w:r w:rsidR="00391B46">
        <w:rPr>
          <w:rFonts w:ascii="Arial" w:eastAsia="Calibri" w:hAnsi="Arial" w:cs="Arial"/>
          <w:sz w:val="26"/>
          <w:szCs w:val="26"/>
          <w:highlight w:val="white"/>
        </w:rPr>
        <w:t>agost</w:t>
      </w:r>
      <w:r w:rsidR="00EC7DF6" w:rsidRPr="00391B46">
        <w:rPr>
          <w:rFonts w:ascii="Arial" w:eastAsia="Calibri" w:hAnsi="Arial" w:cs="Arial"/>
          <w:sz w:val="26"/>
          <w:szCs w:val="26"/>
          <w:highlight w:val="white"/>
        </w:rPr>
        <w:t>o</w:t>
      </w:r>
      <w:r w:rsidR="0036448D" w:rsidRPr="00391B46">
        <w:rPr>
          <w:rFonts w:ascii="Arial" w:eastAsia="Calibri" w:hAnsi="Arial" w:cs="Arial"/>
          <w:sz w:val="26"/>
          <w:szCs w:val="26"/>
          <w:highlight w:val="white"/>
        </w:rPr>
        <w:t xml:space="preserve"> de 2.021.</w:t>
      </w: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  <w:u w:val="single"/>
        </w:rPr>
      </w:pP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  <w:u w:val="singl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  <w:u w:val="single"/>
        </w:rPr>
        <w:t>COMISSÃO DE JUSTIÇA E REDAÇÃO</w:t>
      </w: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A902D5" w:rsidRPr="00391B46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VEREADORA LUZIA CRISTINA CORTÊS</w:t>
      </w: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PRESIDENTE</w:t>
      </w: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VEREADOR TIAGO CESAR COSTA</w:t>
      </w: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VICE - PRESIDENTE</w:t>
      </w: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</w:p>
    <w:p w:rsidR="00560F14" w:rsidRPr="00391B46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6"/>
          <w:szCs w:val="26"/>
          <w:highlight w:val="white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VEREADOR JOÃO</w:t>
      </w:r>
      <w:r w:rsidR="0036448D" w:rsidRPr="00391B46">
        <w:rPr>
          <w:rFonts w:ascii="Arial" w:eastAsia="Calibri" w:hAnsi="Arial" w:cs="Arial"/>
          <w:sz w:val="26"/>
          <w:szCs w:val="26"/>
          <w:highlight w:val="white"/>
        </w:rPr>
        <w:t xml:space="preserve"> VICTOR GASPARINI</w:t>
      </w:r>
    </w:p>
    <w:p w:rsidR="00560F14" w:rsidRPr="00391B46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6"/>
          <w:szCs w:val="26"/>
        </w:rPr>
      </w:pPr>
      <w:r w:rsidRPr="00391B46">
        <w:rPr>
          <w:rFonts w:ascii="Arial" w:eastAsia="Calibri" w:hAnsi="Arial" w:cs="Arial"/>
          <w:sz w:val="26"/>
          <w:szCs w:val="26"/>
          <w:highlight w:val="white"/>
        </w:rPr>
        <w:t>MEMBRO / RELATOR</w:t>
      </w:r>
    </w:p>
    <w:sectPr w:rsidR="00560F14" w:rsidRPr="00391B46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F77" w:rsidRDefault="00867F77" w:rsidP="00560F14">
      <w:r>
        <w:separator/>
      </w:r>
    </w:p>
  </w:endnote>
  <w:endnote w:type="continuationSeparator" w:id="1">
    <w:p w:rsidR="00867F77" w:rsidRDefault="00867F77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F77" w:rsidRDefault="00867F77" w:rsidP="00560F14">
      <w:r>
        <w:separator/>
      </w:r>
    </w:p>
  </w:footnote>
  <w:footnote w:type="continuationSeparator" w:id="1">
    <w:p w:rsidR="00867F77" w:rsidRDefault="00867F77" w:rsidP="00560F14">
      <w:r>
        <w:continuationSeparator/>
      </w:r>
    </w:p>
  </w:footnote>
  <w:footnote w:id="2">
    <w:p w:rsidR="00391B46" w:rsidRDefault="00391B46">
      <w:pPr>
        <w:pStyle w:val="Textodenotaderodap"/>
      </w:pPr>
      <w:r>
        <w:rPr>
          <w:rStyle w:val="Refdenotaderodap"/>
        </w:rPr>
        <w:footnoteRef/>
      </w:r>
      <w:r>
        <w:t xml:space="preserve"> CARNEIRO, Issac Newton. In Manual de Direito Municipal Brasileiro. P &amp; A Editora. Salvador, 2016.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C2068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01923"/>
    <w:rsid w:val="0002708E"/>
    <w:rsid w:val="00043FF1"/>
    <w:rsid w:val="0004624F"/>
    <w:rsid w:val="00052C37"/>
    <w:rsid w:val="00053AC7"/>
    <w:rsid w:val="00075A90"/>
    <w:rsid w:val="000A5D25"/>
    <w:rsid w:val="000E015F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25ED"/>
    <w:rsid w:val="00323692"/>
    <w:rsid w:val="003338E3"/>
    <w:rsid w:val="0036448D"/>
    <w:rsid w:val="003654DA"/>
    <w:rsid w:val="00391B46"/>
    <w:rsid w:val="00393CAB"/>
    <w:rsid w:val="003A54C9"/>
    <w:rsid w:val="003A5E9B"/>
    <w:rsid w:val="003C0134"/>
    <w:rsid w:val="003C4EC7"/>
    <w:rsid w:val="003C5BD8"/>
    <w:rsid w:val="003E0058"/>
    <w:rsid w:val="003E7514"/>
    <w:rsid w:val="003F2DB5"/>
    <w:rsid w:val="00417288"/>
    <w:rsid w:val="00433191"/>
    <w:rsid w:val="00453419"/>
    <w:rsid w:val="004550EF"/>
    <w:rsid w:val="004764D3"/>
    <w:rsid w:val="00481F09"/>
    <w:rsid w:val="004D46D3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6171BF"/>
    <w:rsid w:val="0062527F"/>
    <w:rsid w:val="0065717C"/>
    <w:rsid w:val="00672EB6"/>
    <w:rsid w:val="00676042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67F77"/>
    <w:rsid w:val="008828DB"/>
    <w:rsid w:val="00891261"/>
    <w:rsid w:val="008C0E67"/>
    <w:rsid w:val="008E2543"/>
    <w:rsid w:val="008F07C6"/>
    <w:rsid w:val="009033D8"/>
    <w:rsid w:val="009204C2"/>
    <w:rsid w:val="00943AA9"/>
    <w:rsid w:val="0095208B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C5A50"/>
    <w:rsid w:val="00BE2E9A"/>
    <w:rsid w:val="00C20686"/>
    <w:rsid w:val="00C66190"/>
    <w:rsid w:val="00C7048E"/>
    <w:rsid w:val="00C73EE5"/>
    <w:rsid w:val="00C9085D"/>
    <w:rsid w:val="00C90D5D"/>
    <w:rsid w:val="00CA7CBB"/>
    <w:rsid w:val="00CD22E7"/>
    <w:rsid w:val="00D00C0A"/>
    <w:rsid w:val="00D21A6A"/>
    <w:rsid w:val="00D24FC6"/>
    <w:rsid w:val="00D2793B"/>
    <w:rsid w:val="00D35616"/>
    <w:rsid w:val="00D8170D"/>
    <w:rsid w:val="00DB4774"/>
    <w:rsid w:val="00DD5841"/>
    <w:rsid w:val="00DE2BBD"/>
    <w:rsid w:val="00DE5ED2"/>
    <w:rsid w:val="00E154A7"/>
    <w:rsid w:val="00E3331C"/>
    <w:rsid w:val="00EB23CE"/>
    <w:rsid w:val="00EC7DF6"/>
    <w:rsid w:val="00EE2DDB"/>
    <w:rsid w:val="00EF2DB4"/>
    <w:rsid w:val="00F76285"/>
    <w:rsid w:val="00F80839"/>
    <w:rsid w:val="00F93899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B4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B46"/>
  </w:style>
  <w:style w:type="character" w:styleId="Refdenotaderodap">
    <w:name w:val="footnote reference"/>
    <w:basedOn w:val="Fontepargpadro"/>
    <w:uiPriority w:val="99"/>
    <w:semiHidden/>
    <w:unhideWhenUsed/>
    <w:rsid w:val="00391B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9ADB-0194-48AD-9448-B0F1CAFD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6</cp:revision>
  <cp:lastPrinted>2021-05-18T15:07:00Z</cp:lastPrinted>
  <dcterms:created xsi:type="dcterms:W3CDTF">2021-08-02T18:12:00Z</dcterms:created>
  <dcterms:modified xsi:type="dcterms:W3CDTF">2021-08-05T16:52:00Z</dcterms:modified>
</cp:coreProperties>
</file>