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043FF1" w:rsidRPr="00A902D5" w:rsidRDefault="00043FF1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A54C9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Parecer n.º </w:t>
      </w:r>
      <w:r w:rsidR="00C15403">
        <w:rPr>
          <w:rFonts w:ascii="Arial" w:eastAsia="Arial" w:hAnsi="Arial" w:cs="Arial"/>
          <w:b/>
          <w:sz w:val="24"/>
          <w:szCs w:val="24"/>
        </w:rPr>
        <w:t>0</w:t>
      </w:r>
      <w:r w:rsidR="00110B59">
        <w:rPr>
          <w:rFonts w:ascii="Arial" w:eastAsia="Arial" w:hAnsi="Arial" w:cs="Arial"/>
          <w:b/>
          <w:sz w:val="24"/>
          <w:szCs w:val="24"/>
        </w:rPr>
        <w:t>63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110B59">
        <w:rPr>
          <w:rFonts w:ascii="Arial" w:eastAsia="Arial" w:hAnsi="Arial" w:cs="Arial"/>
          <w:b/>
          <w:sz w:val="24"/>
          <w:szCs w:val="24"/>
        </w:rPr>
        <w:t>100</w:t>
      </w:r>
      <w:r w:rsidR="00C15403">
        <w:rPr>
          <w:rFonts w:ascii="Arial" w:eastAsia="Arial" w:hAnsi="Arial" w:cs="Arial"/>
          <w:b/>
          <w:sz w:val="24"/>
          <w:szCs w:val="24"/>
        </w:rPr>
        <w:t xml:space="preserve"> 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>de 2021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1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3338E3">
        <w:rPr>
          <w:rFonts w:ascii="Arial" w:eastAsia="Calibri" w:hAnsi="Arial" w:cs="Arial"/>
          <w:sz w:val="24"/>
          <w:szCs w:val="24"/>
        </w:rPr>
        <w:t xml:space="preserve"> apresentado pela Exm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338E3">
        <w:rPr>
          <w:rFonts w:ascii="Arial" w:eastAsia="Calibri" w:hAnsi="Arial" w:cs="Arial"/>
          <w:sz w:val="24"/>
          <w:szCs w:val="24"/>
        </w:rPr>
        <w:t>. Sr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>. Vereador</w:t>
      </w:r>
      <w:r w:rsidR="00C15403">
        <w:rPr>
          <w:rFonts w:ascii="Arial" w:eastAsia="Calibri" w:hAnsi="Arial" w:cs="Arial"/>
          <w:sz w:val="24"/>
          <w:szCs w:val="24"/>
        </w:rPr>
        <w:t>a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110B59">
        <w:rPr>
          <w:rFonts w:ascii="Arial" w:eastAsia="Calibri" w:hAnsi="Arial" w:cs="Arial"/>
          <w:sz w:val="24"/>
          <w:szCs w:val="24"/>
        </w:rPr>
        <w:t>Sônia Regina Rodrigues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110B59">
        <w:rPr>
          <w:rFonts w:ascii="Arial" w:eastAsia="Calibri" w:hAnsi="Arial" w:cs="Arial"/>
          <w:b/>
          <w:sz w:val="24"/>
          <w:szCs w:val="24"/>
        </w:rPr>
        <w:t>DISPÕE SOBRE A PERMISSÃO DO INGRESSO DE ANIMAIS DE ESTIMAÇÃO EM HOSPITAIS NO ÂMBITO DO MUNICÍPIO DE MOGI MIRIM E DÁ OUTRAS PROVIDÊNCIAS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560F14" w:rsidRPr="00A902D5" w:rsidRDefault="00672EB6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  <w:r w:rsidR="0036448D" w:rsidRPr="00A902D5">
        <w:rPr>
          <w:rFonts w:ascii="Arial" w:eastAsia="Calibri" w:hAnsi="Arial" w:cs="Arial"/>
          <w:sz w:val="24"/>
          <w:szCs w:val="24"/>
        </w:rPr>
        <w:t>O Projeto busca</w:t>
      </w:r>
      <w:r w:rsidR="00C15403">
        <w:rPr>
          <w:rFonts w:ascii="Arial" w:eastAsia="Calibri" w:hAnsi="Arial" w:cs="Arial"/>
          <w:sz w:val="24"/>
          <w:szCs w:val="24"/>
        </w:rPr>
        <w:t xml:space="preserve"> </w:t>
      </w:r>
      <w:r w:rsidR="00110B59">
        <w:rPr>
          <w:rFonts w:ascii="Arial" w:eastAsia="Calibri" w:hAnsi="Arial" w:cs="Arial"/>
          <w:sz w:val="24"/>
          <w:szCs w:val="24"/>
        </w:rPr>
        <w:t>autorizar que animais domésticos sejam utilizados em Terapia Assistida de Animais em hospitais da cidade, mediante prévia autorização do médico do paciente</w:t>
      </w:r>
      <w:r w:rsidR="0036448D" w:rsidRPr="00A902D5">
        <w:rPr>
          <w:rFonts w:ascii="Arial" w:eastAsia="Calibri" w:hAnsi="Arial" w:cs="Arial"/>
          <w:sz w:val="24"/>
          <w:szCs w:val="24"/>
        </w:rPr>
        <w:t>.</w:t>
      </w:r>
    </w:p>
    <w:p w:rsidR="0053636A" w:rsidRPr="00A902D5" w:rsidRDefault="0053636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560F14" w:rsidRPr="00A902D5" w:rsidRDefault="00560F14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6171BF" w:rsidRDefault="00D24FC6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Inicialmente insta destacar que a</w:t>
      </w:r>
      <w:r w:rsidR="00043FF1" w:rsidRPr="00A902D5">
        <w:rPr>
          <w:rFonts w:ascii="Arial" w:eastAsia="Calibri" w:hAnsi="Arial" w:cs="Arial"/>
          <w:sz w:val="24"/>
          <w:szCs w:val="24"/>
        </w:rPr>
        <w:t xml:space="preserve">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o órgão se manifestado </w:t>
      </w:r>
      <w:r w:rsidR="00043FF1" w:rsidRPr="00A902D5">
        <w:rPr>
          <w:rFonts w:ascii="Arial" w:eastAsia="Calibri" w:hAnsi="Arial" w:cs="Arial"/>
          <w:sz w:val="24"/>
          <w:szCs w:val="24"/>
        </w:rPr>
        <w:t>de forma favorável</w:t>
      </w:r>
      <w:r w:rsidR="00043FF1" w:rsidRPr="006171BF">
        <w:rPr>
          <w:rFonts w:ascii="Arial" w:eastAsia="Calibri" w:hAnsi="Arial" w:cs="Arial"/>
          <w:sz w:val="24"/>
          <w:szCs w:val="24"/>
        </w:rPr>
        <w:t>.</w:t>
      </w:r>
    </w:p>
    <w:p w:rsidR="00043FF1" w:rsidRPr="006171BF" w:rsidRDefault="00043FF1" w:rsidP="006171BF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CD22E7" w:rsidRDefault="00446AB5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Analisando a propositura apresentada para análise, realmente não se verificam óbices jurídicos para continuidade de sua tramitação</w:t>
      </w:r>
      <w:r w:rsidR="00CD22E7" w:rsidRPr="00A902D5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Vejamos:</w:t>
      </w:r>
    </w:p>
    <w:p w:rsidR="00CD22E7" w:rsidRPr="00A902D5" w:rsidRDefault="00CD22E7" w:rsidP="00CD22E7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46AB5" w:rsidRDefault="00CD22E7" w:rsidP="00446AB5">
      <w:pPr>
        <w:pStyle w:val="Normal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</w:p>
    <w:p w:rsidR="006171BF" w:rsidRDefault="00446AB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Com relação à competência</w:t>
      </w:r>
      <w:r w:rsidR="00CF5357">
        <w:rPr>
          <w:rFonts w:ascii="Arial" w:eastAsia="Calibri" w:hAnsi="Arial" w:cs="Arial"/>
          <w:sz w:val="24"/>
          <w:szCs w:val="24"/>
        </w:rPr>
        <w:t>, o</w:t>
      </w:r>
      <w:r w:rsidR="00D24FC6" w:rsidRPr="006171BF">
        <w:rPr>
          <w:rFonts w:ascii="Arial" w:eastAsia="Calibri" w:hAnsi="Arial" w:cs="Arial"/>
          <w:sz w:val="24"/>
          <w:szCs w:val="24"/>
        </w:rPr>
        <w:t xml:space="preserve"> artigo 30, inciso I da Constituição Federal prevê ser de competência dos Municípios legislar acerca de assuntos de interesse local</w:t>
      </w:r>
      <w:r w:rsidR="006171BF">
        <w:rPr>
          <w:rFonts w:ascii="Arial" w:eastAsia="Calibri" w:hAnsi="Arial" w:cs="Arial"/>
          <w:sz w:val="24"/>
          <w:szCs w:val="24"/>
        </w:rPr>
        <w:t>, sendo que hoje se encontra pacificado o enten</w:t>
      </w:r>
      <w:r w:rsidR="003C0134">
        <w:rPr>
          <w:rFonts w:ascii="Arial" w:eastAsia="Calibri" w:hAnsi="Arial" w:cs="Arial"/>
          <w:sz w:val="24"/>
          <w:szCs w:val="24"/>
        </w:rPr>
        <w:t>dimento de que este jamais pode</w:t>
      </w:r>
      <w:r w:rsidR="006171BF">
        <w:rPr>
          <w:rFonts w:ascii="Arial" w:eastAsia="Calibri" w:hAnsi="Arial" w:cs="Arial"/>
          <w:sz w:val="24"/>
          <w:szCs w:val="24"/>
        </w:rPr>
        <w:t xml:space="preserve"> ser caracterizado como </w:t>
      </w:r>
      <w:r w:rsidR="006171BF">
        <w:rPr>
          <w:rFonts w:ascii="Arial" w:hAnsi="Arial" w:cs="Arial"/>
          <w:sz w:val="24"/>
          <w:szCs w:val="24"/>
        </w:rPr>
        <w:t>de</w:t>
      </w:r>
      <w:r w:rsidR="006171BF" w:rsidRPr="006171BF">
        <w:rPr>
          <w:rFonts w:ascii="Arial" w:hAnsi="Arial" w:cs="Arial"/>
          <w:sz w:val="24"/>
          <w:szCs w:val="24"/>
        </w:rPr>
        <w:t xml:space="preserve"> interesse exclusivo do Município. 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Pr="006171BF" w:rsidRDefault="009033D8" w:rsidP="009033D8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Conforme entendimento de Regi</w:t>
      </w:r>
      <w:r w:rsidR="003C0134">
        <w:rPr>
          <w:rFonts w:ascii="Arial" w:hAnsi="Arial" w:cs="Arial"/>
          <w:sz w:val="24"/>
          <w:szCs w:val="24"/>
        </w:rPr>
        <w:t>n</w:t>
      </w:r>
      <w:r w:rsidRPr="006171BF">
        <w:rPr>
          <w:rFonts w:ascii="Arial" w:hAnsi="Arial" w:cs="Arial"/>
          <w:sz w:val="24"/>
          <w:szCs w:val="24"/>
        </w:rPr>
        <w:t xml:space="preserve">a Maria Macedo Nery Ferrari, por interesse local deve-se entender: </w:t>
      </w:r>
      <w:r w:rsidRPr="006171BF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6171BF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71BF">
        <w:rPr>
          <w:rFonts w:ascii="Arial" w:hAnsi="Arial" w:cs="Arial"/>
          <w:sz w:val="24"/>
          <w:szCs w:val="24"/>
        </w:rPr>
        <w:t>O interesse exclusivamente municipal é inconcebível, já que o Município é parte de uma coletividade maior. O interesse local nunca excluirá o interesse estadual e nem mesmo o nacional, mas, no caso concreto, ele deve demonstrar preponderância.</w:t>
      </w:r>
    </w:p>
    <w:p w:rsidR="006171BF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9033D8" w:rsidRDefault="006171BF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033D8">
        <w:rPr>
          <w:rFonts w:ascii="Arial" w:hAnsi="Arial" w:cs="Arial"/>
          <w:sz w:val="24"/>
          <w:szCs w:val="24"/>
        </w:rPr>
        <w:t xml:space="preserve">No presente caso, verifica-se que há interesse local </w:t>
      </w:r>
      <w:r w:rsidR="00CF1AF2">
        <w:rPr>
          <w:rFonts w:ascii="Arial" w:hAnsi="Arial" w:cs="Arial"/>
          <w:sz w:val="24"/>
          <w:szCs w:val="24"/>
        </w:rPr>
        <w:t>em buscar o melhor tratamento para os munícipes da cidade, enquanto não houver legislação federal ou estadual que regulamente a questão</w:t>
      </w:r>
      <w:r w:rsidR="009033D8">
        <w:rPr>
          <w:rFonts w:ascii="Arial" w:hAnsi="Arial" w:cs="Arial"/>
          <w:sz w:val="24"/>
          <w:szCs w:val="24"/>
        </w:rPr>
        <w:t>.</w:t>
      </w:r>
    </w:p>
    <w:p w:rsidR="009033D8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</w:p>
    <w:p w:rsidR="00694B75" w:rsidRDefault="009033D8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1AF2">
        <w:rPr>
          <w:rFonts w:ascii="Arial" w:hAnsi="Arial" w:cs="Arial"/>
          <w:sz w:val="24"/>
          <w:szCs w:val="24"/>
        </w:rPr>
        <w:t>Neste sentido, inclusive cabe</w:t>
      </w:r>
      <w:r>
        <w:rPr>
          <w:rFonts w:ascii="Arial" w:hAnsi="Arial" w:cs="Arial"/>
          <w:sz w:val="24"/>
          <w:szCs w:val="24"/>
        </w:rPr>
        <w:t xml:space="preserve"> enquadramento no ar</w:t>
      </w:r>
      <w:r w:rsidR="004D46D3">
        <w:rPr>
          <w:rFonts w:ascii="Arial" w:hAnsi="Arial" w:cs="Arial"/>
          <w:sz w:val="24"/>
          <w:szCs w:val="24"/>
        </w:rPr>
        <w:t>tigo 30, inciso II da Carta Magn</w:t>
      </w:r>
      <w:r>
        <w:rPr>
          <w:rFonts w:ascii="Arial" w:hAnsi="Arial" w:cs="Arial"/>
          <w:sz w:val="24"/>
          <w:szCs w:val="24"/>
        </w:rPr>
        <w:t>a, já que</w:t>
      </w:r>
      <w:r w:rsidR="00245513">
        <w:rPr>
          <w:rFonts w:ascii="Arial" w:hAnsi="Arial" w:cs="Arial"/>
          <w:sz w:val="24"/>
          <w:szCs w:val="24"/>
        </w:rPr>
        <w:t xml:space="preserve"> </w:t>
      </w:r>
      <w:r w:rsidR="00CF1AF2">
        <w:rPr>
          <w:rFonts w:ascii="Arial" w:hAnsi="Arial" w:cs="Arial"/>
          <w:sz w:val="24"/>
          <w:szCs w:val="24"/>
        </w:rPr>
        <w:t>o Município po</w:t>
      </w:r>
      <w:r w:rsidR="00694B75">
        <w:rPr>
          <w:rFonts w:ascii="Arial" w:hAnsi="Arial" w:cs="Arial"/>
          <w:sz w:val="24"/>
          <w:szCs w:val="24"/>
        </w:rPr>
        <w:t>de</w:t>
      </w:r>
      <w:r w:rsidR="00245513">
        <w:rPr>
          <w:rFonts w:ascii="Arial" w:hAnsi="Arial" w:cs="Arial"/>
          <w:sz w:val="24"/>
          <w:szCs w:val="24"/>
        </w:rPr>
        <w:t xml:space="preserve"> legislar acerca d</w:t>
      </w:r>
      <w:r w:rsidR="00B60B43">
        <w:rPr>
          <w:rFonts w:ascii="Arial" w:hAnsi="Arial" w:cs="Arial"/>
          <w:sz w:val="24"/>
          <w:szCs w:val="24"/>
        </w:rPr>
        <w:t xml:space="preserve">e assuntos de defesa de saúde, </w:t>
      </w:r>
      <w:r w:rsidR="00245513">
        <w:rPr>
          <w:rFonts w:ascii="Arial" w:hAnsi="Arial" w:cs="Arial"/>
          <w:sz w:val="24"/>
          <w:szCs w:val="24"/>
        </w:rPr>
        <w:t xml:space="preserve">desde que não haja contrariedade aos dispositivos </w:t>
      </w:r>
      <w:r w:rsidR="001A0E90">
        <w:rPr>
          <w:rFonts w:ascii="Arial" w:hAnsi="Arial" w:cs="Arial"/>
          <w:sz w:val="24"/>
          <w:szCs w:val="24"/>
        </w:rPr>
        <w:t xml:space="preserve">impostos </w:t>
      </w:r>
      <w:r w:rsidR="00B60B43">
        <w:rPr>
          <w:rFonts w:ascii="Arial" w:hAnsi="Arial" w:cs="Arial"/>
          <w:sz w:val="24"/>
          <w:szCs w:val="24"/>
        </w:rPr>
        <w:t>pela legislação federal e estadual</w:t>
      </w:r>
      <w:r w:rsidR="00CF1AF2">
        <w:rPr>
          <w:rFonts w:ascii="Arial" w:hAnsi="Arial" w:cs="Arial"/>
          <w:sz w:val="24"/>
          <w:szCs w:val="24"/>
        </w:rPr>
        <w:t>, ainda omissas neste tema</w:t>
      </w:r>
      <w:r w:rsidR="00694B75">
        <w:rPr>
          <w:rFonts w:ascii="Arial" w:hAnsi="Arial" w:cs="Arial"/>
          <w:sz w:val="24"/>
          <w:szCs w:val="24"/>
        </w:rPr>
        <w:t>.</w:t>
      </w:r>
    </w:p>
    <w:p w:rsidR="001A0E90" w:rsidRPr="006171BF" w:rsidRDefault="00694B75" w:rsidP="006171BF">
      <w:pPr>
        <w:spacing w:line="38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6285" w:rsidRPr="00A902D5" w:rsidRDefault="001A0E90" w:rsidP="001A0E90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Já no tocante </w:t>
      </w:r>
      <w:r w:rsidR="00AD7587">
        <w:rPr>
          <w:rFonts w:ascii="Arial" w:eastAsia="Calibri" w:hAnsi="Arial" w:cs="Arial"/>
        </w:rPr>
        <w:t>à iniciativa, e</w:t>
      </w:r>
      <w:r w:rsidR="00F76285" w:rsidRPr="00A902D5">
        <w:rPr>
          <w:rFonts w:ascii="Arial" w:eastAsia="Calibri" w:hAnsi="Arial" w:cs="Arial"/>
        </w:rPr>
        <w:t>ncontra-se pacificado hoje o entendimento de que compete ao Poder Legislativo a iniciativa de projetos</w:t>
      </w:r>
      <w:r w:rsidR="00694B75">
        <w:rPr>
          <w:rFonts w:ascii="Arial" w:eastAsia="Calibri" w:hAnsi="Arial" w:cs="Arial"/>
        </w:rPr>
        <w:t xml:space="preserve"> de lei</w:t>
      </w:r>
      <w:r w:rsidR="00F76285" w:rsidRPr="00A902D5">
        <w:rPr>
          <w:rFonts w:ascii="Arial" w:eastAsia="Calibri" w:hAnsi="Arial" w:cs="Arial"/>
        </w:rPr>
        <w:t xml:space="preserve">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1A0E90" w:rsidRDefault="001A0E90" w:rsidP="00AD7587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1A0E90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="00943AA9"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417288">
        <w:rPr>
          <w:rFonts w:ascii="Arial" w:eastAsia="Calibri" w:hAnsi="Arial" w:cs="Arial"/>
          <w:sz w:val="24"/>
          <w:szCs w:val="24"/>
        </w:rPr>
        <w:t>pel</w:t>
      </w:r>
      <w:r w:rsidR="00B60B43">
        <w:rPr>
          <w:rFonts w:ascii="Arial" w:eastAsia="Calibri" w:hAnsi="Arial" w:cs="Arial"/>
          <w:sz w:val="24"/>
          <w:szCs w:val="24"/>
        </w:rPr>
        <w:t xml:space="preserve">a </w:t>
      </w:r>
      <w:r w:rsidR="00417288">
        <w:rPr>
          <w:rFonts w:ascii="Arial" w:eastAsia="Calibri" w:hAnsi="Arial" w:cs="Arial"/>
          <w:sz w:val="24"/>
          <w:szCs w:val="24"/>
        </w:rPr>
        <w:t>Sr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417288">
        <w:rPr>
          <w:rFonts w:ascii="Arial" w:eastAsia="Calibri" w:hAnsi="Arial" w:cs="Arial"/>
          <w:sz w:val="24"/>
          <w:szCs w:val="24"/>
        </w:rPr>
        <w:t>. Vereador</w:t>
      </w:r>
      <w:r w:rsidR="00B60B43">
        <w:rPr>
          <w:rFonts w:ascii="Arial" w:eastAsia="Calibri" w:hAnsi="Arial" w:cs="Arial"/>
          <w:sz w:val="24"/>
          <w:szCs w:val="24"/>
        </w:rPr>
        <w:t>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</w:t>
      </w:r>
      <w:r w:rsidR="00B60B43">
        <w:rPr>
          <w:rFonts w:ascii="Arial" w:hAnsi="Arial" w:cs="Arial"/>
          <w:bCs/>
          <w:sz w:val="24"/>
          <w:szCs w:val="24"/>
          <w:lang w:eastAsia="ar-SA"/>
        </w:rPr>
        <w:t xml:space="preserve"> Substitutivo do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Projeto de Lei sob análise.</w:t>
      </w:r>
    </w:p>
    <w:p w:rsidR="00CF5357" w:rsidRPr="00A902D5" w:rsidRDefault="00CF5357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1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1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25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CF1AF2">
        <w:rPr>
          <w:rFonts w:ascii="Arial" w:eastAsia="Calibri" w:hAnsi="Arial" w:cs="Arial"/>
          <w:sz w:val="24"/>
          <w:szCs w:val="24"/>
          <w:highlight w:val="white"/>
        </w:rPr>
        <w:t>agost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1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1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788" w:rsidRDefault="00ED7788" w:rsidP="00560F14">
      <w:r>
        <w:separator/>
      </w:r>
    </w:p>
  </w:endnote>
  <w:endnote w:type="continuationSeparator" w:id="1">
    <w:p w:rsidR="00ED7788" w:rsidRDefault="00ED7788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788" w:rsidRDefault="00ED7788" w:rsidP="00560F14">
      <w:r>
        <w:separator/>
      </w:r>
    </w:p>
  </w:footnote>
  <w:footnote w:type="continuationSeparator" w:id="1">
    <w:p w:rsidR="00ED7788" w:rsidRDefault="00ED7788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86524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D328D"/>
    <w:rsid w:val="000E015F"/>
    <w:rsid w:val="000F17C2"/>
    <w:rsid w:val="00110B59"/>
    <w:rsid w:val="001874E8"/>
    <w:rsid w:val="00191F83"/>
    <w:rsid w:val="001A0E90"/>
    <w:rsid w:val="001C2878"/>
    <w:rsid w:val="001E1D2C"/>
    <w:rsid w:val="001E393B"/>
    <w:rsid w:val="0024137F"/>
    <w:rsid w:val="00245513"/>
    <w:rsid w:val="00245DEB"/>
    <w:rsid w:val="002979F6"/>
    <w:rsid w:val="002C43F6"/>
    <w:rsid w:val="002C4954"/>
    <w:rsid w:val="002D07A5"/>
    <w:rsid w:val="002D707D"/>
    <w:rsid w:val="002E24D0"/>
    <w:rsid w:val="002F50E3"/>
    <w:rsid w:val="00312D33"/>
    <w:rsid w:val="0031407A"/>
    <w:rsid w:val="00323692"/>
    <w:rsid w:val="003338E3"/>
    <w:rsid w:val="0036448D"/>
    <w:rsid w:val="003654DA"/>
    <w:rsid w:val="003A54C9"/>
    <w:rsid w:val="003A5E9B"/>
    <w:rsid w:val="003C0134"/>
    <w:rsid w:val="003C4EC7"/>
    <w:rsid w:val="003E7514"/>
    <w:rsid w:val="003F2DB5"/>
    <w:rsid w:val="00417288"/>
    <w:rsid w:val="00432C6A"/>
    <w:rsid w:val="00433191"/>
    <w:rsid w:val="00446AB5"/>
    <w:rsid w:val="004550EF"/>
    <w:rsid w:val="004764D3"/>
    <w:rsid w:val="00481F09"/>
    <w:rsid w:val="004D46D3"/>
    <w:rsid w:val="004F1CED"/>
    <w:rsid w:val="00507A0B"/>
    <w:rsid w:val="0051356B"/>
    <w:rsid w:val="005176DD"/>
    <w:rsid w:val="00521D34"/>
    <w:rsid w:val="0053636A"/>
    <w:rsid w:val="00560F14"/>
    <w:rsid w:val="005746E1"/>
    <w:rsid w:val="00591D28"/>
    <w:rsid w:val="005A5315"/>
    <w:rsid w:val="005C0A59"/>
    <w:rsid w:val="005C19F1"/>
    <w:rsid w:val="005E19BB"/>
    <w:rsid w:val="006171BF"/>
    <w:rsid w:val="0065717C"/>
    <w:rsid w:val="00672EB6"/>
    <w:rsid w:val="00676042"/>
    <w:rsid w:val="00694B75"/>
    <w:rsid w:val="006B55B9"/>
    <w:rsid w:val="006E14E2"/>
    <w:rsid w:val="00704DCA"/>
    <w:rsid w:val="007140BC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7D52EC"/>
    <w:rsid w:val="00862605"/>
    <w:rsid w:val="00865244"/>
    <w:rsid w:val="008828DB"/>
    <w:rsid w:val="00891261"/>
    <w:rsid w:val="008C0E67"/>
    <w:rsid w:val="008E2543"/>
    <w:rsid w:val="008F07C6"/>
    <w:rsid w:val="009033D8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864FB"/>
    <w:rsid w:val="00A902D5"/>
    <w:rsid w:val="00AD7587"/>
    <w:rsid w:val="00B031B6"/>
    <w:rsid w:val="00B043E8"/>
    <w:rsid w:val="00B203C0"/>
    <w:rsid w:val="00B267F5"/>
    <w:rsid w:val="00B31022"/>
    <w:rsid w:val="00B41EEA"/>
    <w:rsid w:val="00B60B43"/>
    <w:rsid w:val="00B61AD5"/>
    <w:rsid w:val="00BB0C6A"/>
    <w:rsid w:val="00BC5A50"/>
    <w:rsid w:val="00BE2E9A"/>
    <w:rsid w:val="00C15403"/>
    <w:rsid w:val="00C7048E"/>
    <w:rsid w:val="00C73EE5"/>
    <w:rsid w:val="00C9085D"/>
    <w:rsid w:val="00C90D5D"/>
    <w:rsid w:val="00CA7CBB"/>
    <w:rsid w:val="00CD22E7"/>
    <w:rsid w:val="00CF1AF2"/>
    <w:rsid w:val="00CF5357"/>
    <w:rsid w:val="00D00C0A"/>
    <w:rsid w:val="00D21A6A"/>
    <w:rsid w:val="00D24FC6"/>
    <w:rsid w:val="00D2793B"/>
    <w:rsid w:val="00D30329"/>
    <w:rsid w:val="00D35616"/>
    <w:rsid w:val="00DB4774"/>
    <w:rsid w:val="00DD5841"/>
    <w:rsid w:val="00DE2BBD"/>
    <w:rsid w:val="00DE5ED2"/>
    <w:rsid w:val="00E154A7"/>
    <w:rsid w:val="00EB23CE"/>
    <w:rsid w:val="00EC7DF6"/>
    <w:rsid w:val="00ED7788"/>
    <w:rsid w:val="00EE2DDB"/>
    <w:rsid w:val="00F76285"/>
    <w:rsid w:val="00F80839"/>
    <w:rsid w:val="00F91827"/>
    <w:rsid w:val="00FB0EAD"/>
    <w:rsid w:val="00FD06A9"/>
    <w:rsid w:val="00FF14EE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2</cp:revision>
  <cp:lastPrinted>2021-06-10T19:10:00Z</cp:lastPrinted>
  <dcterms:created xsi:type="dcterms:W3CDTF">2021-08-25T12:59:00Z</dcterms:created>
  <dcterms:modified xsi:type="dcterms:W3CDTF">2021-08-25T12:59:00Z</dcterms:modified>
</cp:coreProperties>
</file>