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013BE">
      <w:pPr>
        <w:pStyle w:val="normal0"/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RESOLUÇÃO </w:t>
      </w:r>
      <w:r>
        <w:rPr>
          <w:b/>
          <w:sz w:val="24"/>
          <w:szCs w:val="24"/>
        </w:rPr>
        <w:t>Nº       ,</w:t>
      </w:r>
      <w:r>
        <w:rPr>
          <w:b/>
          <w:sz w:val="24"/>
          <w:szCs w:val="24"/>
        </w:rPr>
        <w:t xml:space="preserve"> DE 2021</w:t>
      </w:r>
    </w:p>
    <w:p w:rsidR="003013BE">
      <w:pPr>
        <w:pStyle w:val="normal0"/>
        <w:shd w:val="clear" w:color="auto" w:fill="FFFFFF"/>
        <w:spacing w:line="360" w:lineRule="auto"/>
        <w:jc w:val="center"/>
        <w:rPr>
          <w:sz w:val="24"/>
          <w:szCs w:val="24"/>
        </w:rPr>
      </w:pPr>
      <w:bookmarkStart w:id="0" w:name="_gjdgxs" w:colFirst="0" w:colLast="0"/>
      <w:bookmarkEnd w:id="0"/>
    </w:p>
    <w:p w:rsidR="003013BE">
      <w:pPr>
        <w:pStyle w:val="normal0"/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hd w:val="clear" w:color="auto" w:fill="FFFFFF"/>
        <w:spacing w:line="360" w:lineRule="auto"/>
        <w:ind w:left="360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Altera o artigo 128 do Regimento Interno, dispondo sobre </w:t>
      </w:r>
      <w:r>
        <w:rPr>
          <w:i/>
          <w:sz w:val="24"/>
          <w:szCs w:val="24"/>
        </w:rPr>
        <w:t>a informatização dos processos administrativo e legislativo no âmbito da Câmara Municipal de Mogi Mirim</w:t>
      </w:r>
      <w:r>
        <w:rPr>
          <w:i/>
          <w:sz w:val="24"/>
          <w:szCs w:val="24"/>
        </w:rPr>
        <w:t xml:space="preserve"> e dá outras providências</w:t>
      </w:r>
    </w:p>
    <w:p w:rsidR="003013BE">
      <w:pPr>
        <w:pStyle w:val="normal0"/>
        <w:shd w:val="clear" w:color="auto" w:fill="FFFFFF"/>
        <w:spacing w:line="360" w:lineRule="auto"/>
        <w:ind w:left="3600"/>
        <w:jc w:val="both"/>
        <w:rPr>
          <w:i/>
          <w:sz w:val="24"/>
          <w:szCs w:val="24"/>
        </w:rPr>
      </w:pPr>
    </w:p>
    <w:p w:rsidR="003013BE">
      <w:pPr>
        <w:pStyle w:val="normal0"/>
        <w:shd w:val="clear" w:color="auto" w:fill="FFFFFF"/>
        <w:spacing w:line="360" w:lineRule="auto"/>
        <w:ind w:left="2120"/>
        <w:jc w:val="both"/>
        <w:rPr>
          <w:sz w:val="24"/>
          <w:szCs w:val="24"/>
        </w:rPr>
      </w:pPr>
    </w:p>
    <w:p w:rsidR="003013BE">
      <w:pPr>
        <w:pStyle w:val="normal0"/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CÂMARA MUNICIPAL DE MOGI MIRIM APROVA:</w:t>
      </w:r>
    </w:p>
    <w:p w:rsidR="003013BE">
      <w:pPr>
        <w:pStyle w:val="normal0"/>
        <w:shd w:val="clear" w:color="auto" w:fill="FFFFFF"/>
        <w:spacing w:line="360" w:lineRule="auto"/>
        <w:jc w:val="both"/>
        <w:rPr>
          <w:strike/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128</w:t>
      </w:r>
      <w:r>
        <w:rPr>
          <w:sz w:val="24"/>
          <w:szCs w:val="24"/>
        </w:rPr>
        <w:t xml:space="preserve"> Os processos serão organizados conforme a melhor técnica administrativa e legislativa pela Secretaria administrativa sob a responsabilidade do Diretor Geral, devendo dar-se prioridade para tramitação digit</w:t>
      </w:r>
      <w:r>
        <w:rPr>
          <w:sz w:val="24"/>
          <w:szCs w:val="24"/>
        </w:rPr>
        <w:t>al, conforme artigos seguintes.</w:t>
      </w:r>
    </w:p>
    <w:p w:rsidR="003013BE">
      <w:pPr>
        <w:pStyle w:val="normal0"/>
        <w:spacing w:line="360" w:lineRule="auto"/>
        <w:jc w:val="both"/>
        <w:rPr>
          <w:b/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128-A</w:t>
      </w:r>
      <w:r>
        <w:rPr>
          <w:sz w:val="24"/>
          <w:szCs w:val="24"/>
        </w:rPr>
        <w:t xml:space="preserve"> Estabelece-se no âmbito da Câmara Municipal de Mogi Mirim a tramitação eletrônica de processos legislativos e administrativos. 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Fica dispensada a necessidade de se protocolar, despachar ou trami</w:t>
      </w:r>
      <w:r>
        <w:rPr>
          <w:sz w:val="24"/>
          <w:szCs w:val="24"/>
        </w:rPr>
        <w:t>tar de forma física qualquer proposição legislativa ou normativa administrativa da Câmara Municipal.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128-B </w:t>
      </w:r>
      <w:r>
        <w:rPr>
          <w:sz w:val="24"/>
          <w:szCs w:val="24"/>
        </w:rPr>
        <w:t>O atendimento a esta Resolução se dará por meio do Sistema Interno Digital da Câmara Municipal, devendo ser efetuadas atualizações na plataform</w:t>
      </w:r>
      <w:r>
        <w:rPr>
          <w:sz w:val="24"/>
          <w:szCs w:val="24"/>
        </w:rPr>
        <w:t>a, se necessário, para efetivação plena das disposições.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1º </w:t>
      </w:r>
      <w:r>
        <w:rPr>
          <w:sz w:val="24"/>
          <w:szCs w:val="24"/>
        </w:rPr>
        <w:t>A Câmara Municipal deverá indicar os profissionais responsáveis para monitorar, acompanhar e gerenciar o fluxo de dados, processos e documentos do Sistema Interno Digital.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2º </w:t>
      </w:r>
      <w:r>
        <w:rPr>
          <w:sz w:val="24"/>
          <w:szCs w:val="24"/>
        </w:rPr>
        <w:t>A Câmara Munici</w:t>
      </w:r>
      <w:r>
        <w:rPr>
          <w:sz w:val="24"/>
          <w:szCs w:val="24"/>
        </w:rPr>
        <w:t>pal deverá também oferecer capacitações aos usuários internos do Sistema sobre o uso adequado, bem como garantir suporte técnico necessário quando preciso for.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128-C</w:t>
      </w:r>
      <w:r>
        <w:rPr>
          <w:sz w:val="24"/>
          <w:szCs w:val="24"/>
        </w:rPr>
        <w:t xml:space="preserve"> Constituem objetivos da presente Resolução: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Facilitação logística na tramitação de processos internos e externos da Câmara Municipal e </w:t>
      </w:r>
      <w:r>
        <w:rPr>
          <w:sz w:val="24"/>
          <w:szCs w:val="24"/>
        </w:rPr>
        <w:t>agilização</w:t>
      </w:r>
      <w:r>
        <w:rPr>
          <w:sz w:val="24"/>
          <w:szCs w:val="24"/>
        </w:rPr>
        <w:t xml:space="preserve"> dos trâmites legislativos e burocráticos;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- Ampliação da transparência dos procedimentos legislativos e resguardo à segurança documental;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 - Ger</w:t>
      </w:r>
      <w:r>
        <w:rPr>
          <w:sz w:val="24"/>
          <w:szCs w:val="24"/>
        </w:rPr>
        <w:t>ação de economia através da redução de despesas com papéis, combustíveis e pessoal;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IV - Modernização da Câmara Municipal e aproximação da população aos trabalhos da Casa de Leis.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128-D </w:t>
      </w:r>
      <w:r>
        <w:rPr>
          <w:sz w:val="24"/>
          <w:szCs w:val="24"/>
        </w:rPr>
        <w:t>Para fins desta Resolução</w:t>
      </w:r>
      <w:r>
        <w:rPr>
          <w:sz w:val="24"/>
          <w:szCs w:val="24"/>
        </w:rPr>
        <w:t>, considera-se</w:t>
      </w:r>
      <w:r>
        <w:rPr>
          <w:sz w:val="24"/>
          <w:szCs w:val="24"/>
        </w:rPr>
        <w:t xml:space="preserve">: 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- arquivo eletrônico</w:t>
      </w:r>
      <w:r>
        <w:rPr>
          <w:sz w:val="24"/>
          <w:szCs w:val="24"/>
        </w:rPr>
        <w:t xml:space="preserve">: repositório de documentos e/ou de processos eletrônicos ou digitalizados; 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documento eletrônico: documento produzido sob a forma de arquivo eletrônico, inclusive aquele resultante de processo de digitalização; 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- processo eletrônico: conjunto </w:t>
      </w:r>
      <w:r>
        <w:rPr>
          <w:sz w:val="24"/>
          <w:szCs w:val="24"/>
        </w:rPr>
        <w:t xml:space="preserve">de documentos eletrônicos e eventos produzidos e registrados no Sistema Interno; 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- transmissão eletrônica: toda forma de comunicação a distância de documentos ou arquivos digitais por meio da internet; 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- usuário interno: servidor público, colabora</w:t>
      </w:r>
      <w:r>
        <w:rPr>
          <w:sz w:val="24"/>
          <w:szCs w:val="24"/>
        </w:rPr>
        <w:t xml:space="preserve">dores terceirizados e estagiários que tenham acesso, de forma autorizada, ao Sistema Interno; 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 - usuário externo: qualquer cidadão ou pessoa jurídica que tenha acesso, de forma autorizada, a informações produzidas no âmbito do Sistema Interno e que não</w:t>
      </w:r>
      <w:r>
        <w:rPr>
          <w:sz w:val="24"/>
          <w:szCs w:val="24"/>
        </w:rPr>
        <w:t xml:space="preserve"> seja caracterizado como usuário interno.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VII - Sistema Interno Digital: plataforma eletrônica de uso da Câmara Municipal para fluxo de documentos, processos e armazenamento de dados.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128-E</w:t>
      </w:r>
      <w:r>
        <w:rPr>
          <w:sz w:val="24"/>
          <w:szCs w:val="24"/>
        </w:rPr>
        <w:t xml:space="preserve"> Todos os processos das comissões parlamentares tramitarão e</w:t>
      </w:r>
      <w:r>
        <w:rPr>
          <w:sz w:val="24"/>
          <w:szCs w:val="24"/>
        </w:rPr>
        <w:t>m formato digital, dispondo, em livre acesso a vereadores e população, informações sobre os estágios avaliativos em que se encontram, bem como o teor das análises.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O histórico de movimentações de documentos no Sistema Interno Digital fica</w:t>
      </w:r>
      <w:r>
        <w:rPr>
          <w:sz w:val="24"/>
          <w:szCs w:val="24"/>
        </w:rPr>
        <w:t>rá registrado, devendo sempre ser realizado em concordância aos dispositivos regimentais.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128-F </w:t>
      </w:r>
      <w:r>
        <w:rPr>
          <w:sz w:val="24"/>
          <w:szCs w:val="24"/>
        </w:rPr>
        <w:t>Indicações, moções, requerimentos e demais proposições de relação a entes externos deverão ser encaminhadas por meio eletrônico aos destinatários.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1º </w:t>
      </w:r>
      <w:r>
        <w:rPr>
          <w:sz w:val="24"/>
          <w:szCs w:val="24"/>
        </w:rPr>
        <w:t>H</w:t>
      </w:r>
      <w:r>
        <w:rPr>
          <w:sz w:val="24"/>
          <w:szCs w:val="24"/>
        </w:rPr>
        <w:t xml:space="preserve">avendo conflitos com regramentos de instituições externas, onde são feitas exigências para protocolo de documentos físicos, deverá a Câmara atender, em caráter de excepcionalidade, as exigências </w:t>
      </w:r>
      <w:r>
        <w:rPr>
          <w:sz w:val="24"/>
          <w:szCs w:val="24"/>
        </w:rPr>
        <w:t>feitas para devida tramitação legal</w:t>
      </w:r>
      <w:r>
        <w:rPr>
          <w:sz w:val="24"/>
          <w:szCs w:val="24"/>
        </w:rPr>
        <w:t>.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2º </w:t>
      </w:r>
      <w:r>
        <w:rPr>
          <w:sz w:val="24"/>
          <w:szCs w:val="24"/>
        </w:rPr>
        <w:t>As respostas dos órgãos públicos municipais às proposições encaminhadas pela Câmara Municipal poderão ser encaminhadas em formato digital, devendo ser incluídas no sistema pela Secretaria da Câmara.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128-G</w:t>
      </w:r>
      <w:r>
        <w:rPr>
          <w:sz w:val="24"/>
          <w:szCs w:val="24"/>
        </w:rPr>
        <w:t xml:space="preserve"> O resguardo à autoria, autenticidade, integri</w:t>
      </w:r>
      <w:r>
        <w:rPr>
          <w:sz w:val="24"/>
          <w:szCs w:val="24"/>
        </w:rPr>
        <w:t>dade e veracidade dos documentos eletrônicos se dará mediante uso de assinatura digital, com uso individualizado e intransferível, conforme registro armazenado no Sistema Interno Digital e observado os padrões de segurança.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1º </w:t>
      </w:r>
      <w:r>
        <w:rPr>
          <w:sz w:val="24"/>
          <w:szCs w:val="24"/>
        </w:rPr>
        <w:t>O uso da assinatura digita</w:t>
      </w:r>
      <w:r>
        <w:rPr>
          <w:sz w:val="24"/>
          <w:szCs w:val="24"/>
        </w:rPr>
        <w:t>l poderá ser definida sob base de registro e segurança própria da Câmara Municipal, com o devido credenciamento individualizado e intransferível do usuário.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2º </w:t>
      </w:r>
      <w:r>
        <w:rPr>
          <w:sz w:val="24"/>
          <w:szCs w:val="24"/>
        </w:rPr>
        <w:t xml:space="preserve">Os padrões de segurança a serem seguidos atendem à emissão de certificado pelo sistema nacional de certificação da </w:t>
      </w:r>
      <w:r>
        <w:rPr>
          <w:sz w:val="24"/>
          <w:szCs w:val="24"/>
        </w:rPr>
        <w:t>Infraestrutura</w:t>
      </w:r>
      <w:r>
        <w:rPr>
          <w:sz w:val="24"/>
          <w:szCs w:val="24"/>
        </w:rPr>
        <w:t xml:space="preserve"> de Chaves Públicas Brasileiras - </w:t>
      </w:r>
      <w:r>
        <w:rPr>
          <w:sz w:val="24"/>
          <w:szCs w:val="24"/>
        </w:rPr>
        <w:t>ICB-Brasil</w:t>
      </w:r>
      <w:r>
        <w:rPr>
          <w:sz w:val="24"/>
          <w:szCs w:val="24"/>
        </w:rPr>
        <w:t>.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128-H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Os documentos protocolados junto ao Sistema Interno Digital serão re</w:t>
      </w:r>
      <w:r>
        <w:rPr>
          <w:sz w:val="24"/>
          <w:szCs w:val="24"/>
        </w:rPr>
        <w:t xml:space="preserve">gistrados com data e horário da efetuação do protocolo, bem como do usuário responsável pela tramitação.  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1º </w:t>
      </w:r>
      <w:r>
        <w:rPr>
          <w:sz w:val="24"/>
          <w:szCs w:val="24"/>
        </w:rPr>
        <w:t xml:space="preserve">A data e horário registrados, referenciados no Horário Oficial de Brasília, serão considerados para fins de cumprimentos de prazos processuais </w:t>
      </w:r>
      <w:r>
        <w:rPr>
          <w:sz w:val="24"/>
          <w:szCs w:val="24"/>
        </w:rPr>
        <w:t>estabelecidos no Regimento Interno da Câmara Municipal e na Lei Orgânica do Município.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2º </w:t>
      </w:r>
      <w:r>
        <w:rPr>
          <w:sz w:val="24"/>
          <w:szCs w:val="24"/>
        </w:rPr>
        <w:t xml:space="preserve">Considera-se derradeiro para atendimento de prazos processuais em datas-limite o horário tempestivo de 23h59 (vinte e três horas e </w:t>
      </w:r>
      <w:r>
        <w:rPr>
          <w:sz w:val="24"/>
          <w:szCs w:val="24"/>
        </w:rPr>
        <w:t>cinquenta</w:t>
      </w:r>
      <w:r>
        <w:rPr>
          <w:sz w:val="24"/>
          <w:szCs w:val="24"/>
        </w:rPr>
        <w:t xml:space="preserve"> e nove minutos), obser</w:t>
      </w:r>
      <w:r>
        <w:rPr>
          <w:sz w:val="24"/>
          <w:szCs w:val="24"/>
        </w:rPr>
        <w:t>vando exclusivamente o momento do protocolo da documentação, independentemente do horário de acesso ao Sistema.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3º </w:t>
      </w:r>
      <w:r>
        <w:rPr>
          <w:sz w:val="24"/>
          <w:szCs w:val="24"/>
        </w:rPr>
        <w:t>Havendo queda no Sistema Interno Digital da Câmara Municipal de modo a impossibilitar o em tempo hábil o registro de documentos, será conc</w:t>
      </w:r>
      <w:r>
        <w:rPr>
          <w:sz w:val="24"/>
          <w:szCs w:val="24"/>
        </w:rPr>
        <w:t xml:space="preserve">edido novo prazo para efetuar o protocolo àqueles que tenham sido prejudicados, até </w:t>
      </w:r>
      <w:r>
        <w:rPr>
          <w:sz w:val="24"/>
          <w:szCs w:val="24"/>
        </w:rPr>
        <w:t>às</w:t>
      </w:r>
      <w:r>
        <w:rPr>
          <w:sz w:val="24"/>
          <w:szCs w:val="24"/>
        </w:rPr>
        <w:t xml:space="preserve"> 23h59 do dia seguinte à resolução do problema técnico.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4º </w:t>
      </w:r>
      <w:r>
        <w:rPr>
          <w:sz w:val="24"/>
          <w:szCs w:val="24"/>
        </w:rPr>
        <w:t>O fluxo de documentos e controle de prazos são de responsabilidade do usuário do sistema.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128-I </w:t>
      </w:r>
      <w:r>
        <w:rPr>
          <w:sz w:val="24"/>
          <w:szCs w:val="24"/>
        </w:rPr>
        <w:t>Havend</w:t>
      </w:r>
      <w:r>
        <w:rPr>
          <w:sz w:val="24"/>
          <w:szCs w:val="24"/>
        </w:rPr>
        <w:t>o recebimento de documentos físicos de origem externa</w:t>
      </w:r>
      <w:r>
        <w:rPr>
          <w:sz w:val="24"/>
          <w:szCs w:val="24"/>
        </w:rPr>
        <w:t>, deverá</w:t>
      </w:r>
      <w:r>
        <w:rPr>
          <w:sz w:val="24"/>
          <w:szCs w:val="24"/>
        </w:rPr>
        <w:t xml:space="preserve"> a Câmara Municipal efetuar a digitalização imediata dos itens para lançamento no Sistema Interno Digital e devolver, logo que digitalizados, os documentos ao remetente.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Parágrafo Único</w:t>
      </w:r>
      <w:r>
        <w:rPr>
          <w:sz w:val="24"/>
          <w:szCs w:val="24"/>
        </w:rPr>
        <w:t>. Não hav</w:t>
      </w:r>
      <w:r>
        <w:rPr>
          <w:sz w:val="24"/>
          <w:szCs w:val="24"/>
        </w:rPr>
        <w:t>endo possibilidade de devolução dos documentos, serão executados os procedimentos de arquivamento dispostos no Artigo 10º.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128-J </w:t>
      </w:r>
      <w:r>
        <w:rPr>
          <w:sz w:val="24"/>
          <w:szCs w:val="24"/>
        </w:rPr>
        <w:t xml:space="preserve">Observado o disposto na legislação </w:t>
      </w:r>
      <w:r>
        <w:rPr>
          <w:sz w:val="24"/>
          <w:szCs w:val="24"/>
        </w:rPr>
        <w:t>arquivística</w:t>
      </w:r>
      <w:r>
        <w:rPr>
          <w:sz w:val="24"/>
          <w:szCs w:val="24"/>
        </w:rPr>
        <w:t xml:space="preserve"> brasileira proposta pelo Conselho Nacional de Arquivos (CONARQ), os docum</w:t>
      </w:r>
      <w:r>
        <w:rPr>
          <w:sz w:val="24"/>
          <w:szCs w:val="24"/>
        </w:rPr>
        <w:t xml:space="preserve">entos originais, independentemente do meio em que forem gerados, após serem arquivados eletronicamente na forma desta Resolução, poderão ser eliminados ou transferidos para outro suporte local. 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§ 1º</w:t>
      </w:r>
      <w:r>
        <w:rPr>
          <w:sz w:val="24"/>
          <w:szCs w:val="24"/>
        </w:rPr>
        <w:t xml:space="preserve"> Os documentos externos digitalizados e inseridos no Sis</w:t>
      </w:r>
      <w:r>
        <w:rPr>
          <w:sz w:val="24"/>
          <w:szCs w:val="24"/>
        </w:rPr>
        <w:t xml:space="preserve">tema Interno Digital, serão considerados como originais, devendo ser tramitados somente em meio eletrônico. 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§ 2º</w:t>
      </w:r>
      <w:r>
        <w:rPr>
          <w:sz w:val="24"/>
          <w:szCs w:val="24"/>
        </w:rPr>
        <w:t xml:space="preserve"> As certidões, os contratos, as notas fiscais e os demais documentos comprobatórios originais emitidos por entes externos ao âmbito da Câmara </w:t>
      </w:r>
      <w:r>
        <w:rPr>
          <w:sz w:val="24"/>
          <w:szCs w:val="24"/>
        </w:rPr>
        <w:t xml:space="preserve">Municipal deverão ser mantidos em arquivo, após inserção no Sistema Interno Digital, na Câmara Municipal, que deverá garantir a devida possibilidade de acesso às informações contidas nos itens. 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128-K </w:t>
      </w:r>
      <w:r>
        <w:rPr>
          <w:sz w:val="24"/>
          <w:szCs w:val="24"/>
        </w:rPr>
        <w:t>Para todos os fins de direito, os documentos arquivados em forma eletrônica que tiverem sua integridade e autoria asseguradas nos termos desta Resolução terão o mesmo valor probante que os documentos arquivados em papel ou em outra forma ou meio legalmente</w:t>
      </w:r>
      <w:r>
        <w:rPr>
          <w:sz w:val="24"/>
          <w:szCs w:val="24"/>
        </w:rPr>
        <w:t xml:space="preserve"> admitidos. 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§ 1º</w:t>
      </w:r>
      <w:r>
        <w:rPr>
          <w:sz w:val="24"/>
          <w:szCs w:val="24"/>
        </w:rPr>
        <w:t xml:space="preserve"> Presumem-se fiéis, para todos os fins de direito, as reproduções em papel obtidas a partir de documentos arquivados em meio eletrônico de acordo com o disposto nesta Resolução. 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§ 2º</w:t>
      </w:r>
      <w:r>
        <w:rPr>
          <w:sz w:val="24"/>
          <w:szCs w:val="24"/>
        </w:rPr>
        <w:t xml:space="preserve"> Os autos dos processos eletrônicos devem ser protegid</w:t>
      </w:r>
      <w:r>
        <w:rPr>
          <w:sz w:val="24"/>
          <w:szCs w:val="24"/>
        </w:rPr>
        <w:t xml:space="preserve">os por meio de sistemas de segurança de acesso e de armazenamento digital que garantam a autenticidade, preservação e integridade dos dados, sendo dispensada sua formação física. </w:t>
      </w: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128-L </w:t>
      </w:r>
      <w:r>
        <w:rPr>
          <w:sz w:val="24"/>
          <w:szCs w:val="24"/>
        </w:rPr>
        <w:t>Esta Resolução entra em vigor 180 dias após a data de sua promul</w:t>
      </w:r>
      <w:r>
        <w:rPr>
          <w:sz w:val="24"/>
          <w:szCs w:val="24"/>
        </w:rPr>
        <w:t>gação</w:t>
      </w:r>
    </w:p>
    <w:p w:rsidR="003013BE">
      <w:pPr>
        <w:pStyle w:val="normal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013BE">
      <w:pPr>
        <w:pStyle w:val="normal0"/>
        <w:spacing w:line="360" w:lineRule="auto"/>
        <w:ind w:firstLine="709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Sala das Sessões “Vereador Santo </w:t>
      </w:r>
      <w:r>
        <w:rPr>
          <w:i/>
          <w:sz w:val="24"/>
          <w:szCs w:val="24"/>
        </w:rPr>
        <w:t>Róttoli</w:t>
      </w:r>
      <w:r>
        <w:rPr>
          <w:i/>
          <w:sz w:val="24"/>
          <w:szCs w:val="24"/>
        </w:rPr>
        <w:t>”, 04 de outubro de 2021.</w:t>
      </w:r>
    </w:p>
    <w:p w:rsidR="003013BE">
      <w:pPr>
        <w:pStyle w:val="normal0"/>
        <w:spacing w:line="360" w:lineRule="auto"/>
        <w:jc w:val="center"/>
        <w:rPr>
          <w:i/>
          <w:sz w:val="24"/>
          <w:szCs w:val="24"/>
        </w:rPr>
      </w:pPr>
    </w:p>
    <w:p w:rsidR="003013BE">
      <w:pPr>
        <w:pStyle w:val="normal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</w:t>
      </w:r>
    </w:p>
    <w:p w:rsidR="003013BE">
      <w:pPr>
        <w:pStyle w:val="normal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JOÃO VICTOR GASPARINI</w:t>
      </w:r>
    </w:p>
    <w:p w:rsidR="003013BE">
      <w:pPr>
        <w:pStyle w:val="normal0"/>
        <w:spacing w:line="360" w:lineRule="auto"/>
        <w:jc w:val="center"/>
        <w:rPr>
          <w:b/>
          <w:sz w:val="24"/>
          <w:szCs w:val="24"/>
        </w:rPr>
      </w:pPr>
    </w:p>
    <w:p w:rsidR="003013BE">
      <w:pPr>
        <w:pStyle w:val="normal0"/>
        <w:spacing w:line="360" w:lineRule="auto"/>
        <w:jc w:val="center"/>
        <w:rPr>
          <w:b/>
          <w:sz w:val="24"/>
          <w:szCs w:val="24"/>
        </w:rPr>
      </w:pPr>
    </w:p>
    <w:p w:rsidR="003013BE">
      <w:pPr>
        <w:pStyle w:val="normal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JUSTIFICAÇÃO</w:t>
      </w:r>
    </w:p>
    <w:p w:rsidR="003013BE">
      <w:pPr>
        <w:pStyle w:val="normal0"/>
        <w:spacing w:line="360" w:lineRule="auto"/>
        <w:jc w:val="center"/>
        <w:rPr>
          <w:b/>
          <w:sz w:val="24"/>
          <w:szCs w:val="24"/>
        </w:rPr>
      </w:pPr>
    </w:p>
    <w:p w:rsidR="003013BE">
      <w:pPr>
        <w:pStyle w:val="normal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sociedade se moderniza diariamente e o Poder Legislativo necessita acompanhar essa </w:t>
      </w:r>
      <w:r>
        <w:rPr>
          <w:sz w:val="24"/>
          <w:szCs w:val="24"/>
        </w:rPr>
        <w:t>modernização. Novas medidas adotadas no setor privado aceleram tramitações de processos, buscam maior segurança jurídica e até sustentabilidade nas práticas administrativas.</w:t>
      </w:r>
    </w:p>
    <w:p w:rsidR="003013BE">
      <w:pPr>
        <w:pStyle w:val="normal0"/>
        <w:spacing w:line="360" w:lineRule="auto"/>
        <w:jc w:val="center"/>
        <w:rPr>
          <w:sz w:val="24"/>
          <w:szCs w:val="24"/>
        </w:rPr>
      </w:pPr>
    </w:p>
    <w:p w:rsidR="003013BE">
      <w:pPr>
        <w:pStyle w:val="normal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Diversas cidade Brasil afora, buscando essa inteligência burocrática, adaptam</w:t>
      </w:r>
      <w:r>
        <w:rPr>
          <w:sz w:val="24"/>
          <w:szCs w:val="24"/>
        </w:rPr>
        <w:t xml:space="preserve"> seu</w:t>
      </w:r>
      <w:r>
        <w:rPr>
          <w:sz w:val="24"/>
          <w:szCs w:val="24"/>
        </w:rPr>
        <w:t>s sistemas internos de tramitação de processos para tornar o modelo de gestão pública mais eficiente, econômico e transparente.</w:t>
      </w:r>
    </w:p>
    <w:p w:rsidR="003013BE">
      <w:pPr>
        <w:pStyle w:val="normal0"/>
        <w:spacing w:line="360" w:lineRule="auto"/>
        <w:jc w:val="center"/>
        <w:rPr>
          <w:sz w:val="24"/>
          <w:szCs w:val="24"/>
        </w:rPr>
      </w:pPr>
    </w:p>
    <w:p w:rsidR="003013BE">
      <w:pPr>
        <w:pStyle w:val="normal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Dentre as principais ações para colocar em prática esses interesses, está a eliminação do uso de papel e aceitação da plenitude</w:t>
      </w:r>
      <w:r>
        <w:rPr>
          <w:sz w:val="24"/>
          <w:szCs w:val="24"/>
        </w:rPr>
        <w:t xml:space="preserve"> digital na movimentação e análise de documentos, procedimento que, se seguido pela Câmara Municipal de </w:t>
      </w:r>
      <w:r>
        <w:rPr>
          <w:sz w:val="24"/>
          <w:szCs w:val="24"/>
        </w:rPr>
        <w:t>MOgi</w:t>
      </w:r>
      <w:r>
        <w:rPr>
          <w:sz w:val="24"/>
          <w:szCs w:val="24"/>
        </w:rPr>
        <w:t xml:space="preserve"> Mirim, somente beneficiaria o trabalho legislativo.</w:t>
      </w:r>
    </w:p>
    <w:p w:rsidR="003013BE">
      <w:pPr>
        <w:pStyle w:val="normal0"/>
        <w:spacing w:line="360" w:lineRule="auto"/>
        <w:jc w:val="center"/>
        <w:rPr>
          <w:sz w:val="24"/>
          <w:szCs w:val="24"/>
        </w:rPr>
      </w:pPr>
    </w:p>
    <w:p w:rsidR="003013BE">
      <w:pPr>
        <w:pStyle w:val="normal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Atualmente, uma série de atos envolvendo uso de papéis físicos </w:t>
      </w:r>
      <w:r>
        <w:rPr>
          <w:sz w:val="24"/>
          <w:szCs w:val="24"/>
        </w:rPr>
        <w:t>são exigidos</w:t>
      </w:r>
      <w:r>
        <w:rPr>
          <w:sz w:val="24"/>
          <w:szCs w:val="24"/>
        </w:rPr>
        <w:t xml:space="preserve"> a vereadores, asse</w:t>
      </w:r>
      <w:r>
        <w:rPr>
          <w:sz w:val="24"/>
          <w:szCs w:val="24"/>
        </w:rPr>
        <w:t>ssores e demais profissionais da Casa, gerando dificuldades logísticas na realização do processo legislativo.</w:t>
      </w:r>
    </w:p>
    <w:p w:rsidR="003013BE">
      <w:pPr>
        <w:pStyle w:val="normal0"/>
        <w:spacing w:line="360" w:lineRule="auto"/>
        <w:jc w:val="center"/>
        <w:rPr>
          <w:sz w:val="24"/>
          <w:szCs w:val="24"/>
        </w:rPr>
      </w:pPr>
    </w:p>
    <w:p w:rsidR="003013BE">
      <w:pPr>
        <w:pStyle w:val="normal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Portanto, a fim de sanar essas questões e adequar a nossa Casa de Leis às práticas mais modernas existentes, como seguidos nas cidades de </w:t>
      </w:r>
      <w:r>
        <w:rPr>
          <w:sz w:val="24"/>
          <w:szCs w:val="24"/>
        </w:rPr>
        <w:t>Guarapari</w:t>
      </w:r>
      <w:r>
        <w:rPr>
          <w:sz w:val="24"/>
          <w:szCs w:val="24"/>
        </w:rPr>
        <w:t xml:space="preserve"> - ES e Mafra - SC, </w:t>
      </w:r>
      <w:r>
        <w:rPr>
          <w:sz w:val="24"/>
          <w:szCs w:val="24"/>
        </w:rPr>
        <w:t>é</w:t>
      </w:r>
      <w:r>
        <w:rPr>
          <w:sz w:val="24"/>
          <w:szCs w:val="24"/>
        </w:rPr>
        <w:t xml:space="preserve"> apresentado aos nobres pares a presente proposta de alteração.</w:t>
      </w:r>
    </w:p>
    <w:p w:rsidR="003013BE">
      <w:pPr>
        <w:pStyle w:val="normal0"/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3013BE">
      <w:pPr>
        <w:pStyle w:val="normal0"/>
        <w:spacing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Sala das Sessões “Verea</w:t>
      </w:r>
      <w:r>
        <w:rPr>
          <w:i/>
          <w:sz w:val="24"/>
          <w:szCs w:val="24"/>
        </w:rPr>
        <w:t xml:space="preserve">dor Santo </w:t>
      </w:r>
      <w:r>
        <w:rPr>
          <w:i/>
          <w:sz w:val="24"/>
          <w:szCs w:val="24"/>
        </w:rPr>
        <w:t>Róttoli</w:t>
      </w:r>
      <w:r>
        <w:rPr>
          <w:i/>
          <w:sz w:val="24"/>
          <w:szCs w:val="24"/>
        </w:rPr>
        <w:t>”, 04 de outubro de 2021.</w:t>
      </w:r>
    </w:p>
    <w:p w:rsidR="003013BE">
      <w:pPr>
        <w:pStyle w:val="normal0"/>
        <w:spacing w:line="360" w:lineRule="auto"/>
        <w:jc w:val="both"/>
        <w:rPr>
          <w:b/>
          <w:sz w:val="24"/>
          <w:szCs w:val="24"/>
        </w:rPr>
      </w:pPr>
    </w:p>
    <w:p w:rsidR="003013BE">
      <w:pPr>
        <w:pStyle w:val="normal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</w:t>
      </w:r>
    </w:p>
    <w:p w:rsidR="003013BE">
      <w:pPr>
        <w:pStyle w:val="normal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JOÃO VICTOR GASPARINI</w:t>
      </w:r>
    </w:p>
    <w:p w:rsidR="003013BE">
      <w:pPr>
        <w:pStyle w:val="normal0"/>
      </w:pPr>
    </w:p>
    <w:sectPr w:rsidSect="003013B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013BE"/>
    <w:rsid w:val="003013BE"/>
    <w:rsid w:val="003605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3013B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3013B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3013B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3013B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3013B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3013B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013BE"/>
  </w:style>
  <w:style w:type="table" w:customStyle="1" w:styleId="TableNormal0">
    <w:name w:val="Table Normal_0"/>
    <w:rsid w:val="003013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3013B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3013B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1441</Words>
  <Characters>7784</Characters>
  <Application>Microsoft Office Word</Application>
  <DocSecurity>0</DocSecurity>
  <Lines>64</Lines>
  <Paragraphs>18</Paragraphs>
  <ScaleCrop>false</ScaleCrop>
  <Company/>
  <LinksUpToDate>false</LinksUpToDate>
  <CharactersWithSpaces>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2</cp:revision>
  <dcterms:created xsi:type="dcterms:W3CDTF">2021-10-04T12:57:00Z</dcterms:created>
  <dcterms:modified xsi:type="dcterms:W3CDTF">2021-10-04T12:57:00Z</dcterms:modified>
</cp:coreProperties>
</file>