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Nos termos do artigo 49, §3º do Regimento Interno, reservo o presente para minha própria consideração, exarando o Relatório nos termos que seguem.</w:t>
      </w:r>
    </w:p>
    <w:p w:rsid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LUZIA CRISTINA CORTES NOGUEIRA</w:t>
      </w:r>
    </w:p>
    <w:p w:rsidR="00165A84" w:rsidRPr="00165A84" w:rsidRDefault="00165A84" w:rsidP="00165A84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Presidente da Comissão</w:t>
      </w: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RDefault="00165A84" w:rsidP="00165A84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RDefault="00165A84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165A84" w:rsidRPr="00A902D5" w:rsidRDefault="00165A8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6376E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Ref. Recurso em face de questões de Ordem n.º 01</w:t>
      </w:r>
    </w:p>
    <w:p w:rsidR="00560F14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9610B" w:rsidRPr="00A902D5" w:rsidRDefault="00E9610B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Default="00672EB6" w:rsidP="003B4194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</w:t>
      </w:r>
      <w:r w:rsidR="003B4194">
        <w:rPr>
          <w:rFonts w:ascii="Arial" w:eastAsia="Calibri" w:hAnsi="Arial" w:cs="Arial"/>
          <w:sz w:val="24"/>
          <w:szCs w:val="24"/>
        </w:rPr>
        <w:t xml:space="preserve"> Recurso interposto pelo Vereador Tiago Costa em face de decisão proferida pela Exma. Sra. Presidente </w:t>
      </w:r>
      <w:r w:rsidR="00814941">
        <w:rPr>
          <w:rFonts w:ascii="Arial" w:eastAsia="Calibri" w:hAnsi="Arial" w:cs="Arial"/>
          <w:sz w:val="24"/>
          <w:szCs w:val="24"/>
        </w:rPr>
        <w:t xml:space="preserve">Sônia Regina Rodrigues </w:t>
      </w:r>
      <w:r w:rsidR="003B4194">
        <w:rPr>
          <w:rFonts w:ascii="Arial" w:eastAsia="Calibri" w:hAnsi="Arial" w:cs="Arial"/>
          <w:sz w:val="24"/>
          <w:szCs w:val="24"/>
        </w:rPr>
        <w:t xml:space="preserve">em Questão de Ordem levantada pelo recorrente durante a </w:t>
      </w:r>
      <w:r w:rsidR="00814941">
        <w:rPr>
          <w:rFonts w:ascii="Arial" w:eastAsia="Calibri" w:hAnsi="Arial" w:cs="Arial"/>
          <w:sz w:val="24"/>
          <w:szCs w:val="24"/>
        </w:rPr>
        <w:t>26ª</w:t>
      </w:r>
      <w:r w:rsidR="003B4194">
        <w:rPr>
          <w:rFonts w:ascii="Arial" w:eastAsia="Calibri" w:hAnsi="Arial" w:cs="Arial"/>
          <w:sz w:val="24"/>
          <w:szCs w:val="24"/>
        </w:rPr>
        <w:t xml:space="preserve"> Sessão Ordinária.</w:t>
      </w:r>
    </w:p>
    <w:p w:rsidR="003B4194" w:rsidRDefault="003B4194" w:rsidP="003B4194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B4194" w:rsidRDefault="003B4194" w:rsidP="003B4194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Alega em síntese que </w:t>
      </w:r>
      <w:r w:rsidR="006F291E">
        <w:rPr>
          <w:rFonts w:ascii="Arial" w:eastAsia="Calibri" w:hAnsi="Arial" w:cs="Arial"/>
          <w:sz w:val="24"/>
          <w:szCs w:val="24"/>
        </w:rPr>
        <w:t>o Parecer exarado pela Co</w:t>
      </w:r>
      <w:r w:rsidR="00814941">
        <w:rPr>
          <w:rFonts w:ascii="Arial" w:eastAsia="Calibri" w:hAnsi="Arial" w:cs="Arial"/>
          <w:sz w:val="24"/>
          <w:szCs w:val="24"/>
        </w:rPr>
        <w:t xml:space="preserve">missão de Finanças e Orçamento </w:t>
      </w:r>
      <w:r w:rsidR="006F291E">
        <w:rPr>
          <w:rFonts w:ascii="Arial" w:eastAsia="Calibri" w:hAnsi="Arial" w:cs="Arial"/>
          <w:sz w:val="24"/>
          <w:szCs w:val="24"/>
        </w:rPr>
        <w:t>supostamente teria infri</w:t>
      </w:r>
      <w:r w:rsidR="00814941">
        <w:rPr>
          <w:rFonts w:ascii="Arial" w:eastAsia="Calibri" w:hAnsi="Arial" w:cs="Arial"/>
          <w:sz w:val="24"/>
          <w:szCs w:val="24"/>
        </w:rPr>
        <w:t>ngiu</w:t>
      </w:r>
      <w:r w:rsidR="006F291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os artigos 44, inciso III e §1°, artigo 49, §§ 3º e 5º, artigo 54 e 55, §1º do Regimento Interno</w:t>
      </w:r>
      <w:r w:rsidR="0001102A">
        <w:rPr>
          <w:rFonts w:ascii="Arial" w:eastAsia="Calibri" w:hAnsi="Arial" w:cs="Arial"/>
          <w:sz w:val="24"/>
          <w:szCs w:val="24"/>
        </w:rPr>
        <w:t xml:space="preserve">, </w:t>
      </w:r>
      <w:r w:rsidR="001A3363">
        <w:rPr>
          <w:rFonts w:ascii="Arial" w:eastAsia="Calibri" w:hAnsi="Arial" w:cs="Arial"/>
          <w:sz w:val="24"/>
          <w:szCs w:val="24"/>
        </w:rPr>
        <w:t xml:space="preserve">acarretando </w:t>
      </w:r>
      <w:r w:rsidR="006F291E">
        <w:rPr>
          <w:rFonts w:ascii="Arial" w:eastAsia="Calibri" w:hAnsi="Arial" w:cs="Arial"/>
          <w:sz w:val="24"/>
          <w:szCs w:val="24"/>
        </w:rPr>
        <w:t>em</w:t>
      </w:r>
      <w:r w:rsidR="0001102A">
        <w:rPr>
          <w:rFonts w:ascii="Arial" w:eastAsia="Calibri" w:hAnsi="Arial" w:cs="Arial"/>
          <w:sz w:val="24"/>
          <w:szCs w:val="24"/>
        </w:rPr>
        <w:t xml:space="preserve"> nulidade </w:t>
      </w:r>
      <w:r w:rsidR="001A3363">
        <w:rPr>
          <w:rFonts w:ascii="Arial" w:eastAsia="Calibri" w:hAnsi="Arial" w:cs="Arial"/>
          <w:sz w:val="24"/>
          <w:szCs w:val="24"/>
        </w:rPr>
        <w:t>de</w:t>
      </w:r>
      <w:r w:rsidR="0001102A">
        <w:rPr>
          <w:rFonts w:ascii="Arial" w:eastAsia="Calibri" w:hAnsi="Arial" w:cs="Arial"/>
          <w:sz w:val="24"/>
          <w:szCs w:val="24"/>
        </w:rPr>
        <w:t xml:space="preserve"> todo o procedimento de aprovação do Projeto de Lei n.º </w:t>
      </w:r>
      <w:r w:rsidR="00814941">
        <w:rPr>
          <w:rFonts w:ascii="Arial" w:eastAsia="Calibri" w:hAnsi="Arial" w:cs="Arial"/>
          <w:sz w:val="24"/>
          <w:szCs w:val="24"/>
        </w:rPr>
        <w:t>121/21</w:t>
      </w:r>
      <w:r w:rsidR="0001102A">
        <w:rPr>
          <w:rFonts w:ascii="Arial" w:eastAsia="Calibri" w:hAnsi="Arial" w:cs="Arial"/>
          <w:sz w:val="24"/>
          <w:szCs w:val="24"/>
        </w:rPr>
        <w:t>, que trata do Plano Plurianual do Município</w:t>
      </w:r>
      <w:r>
        <w:rPr>
          <w:rFonts w:ascii="Arial" w:eastAsia="Calibri" w:hAnsi="Arial" w:cs="Arial"/>
          <w:sz w:val="24"/>
          <w:szCs w:val="24"/>
        </w:rPr>
        <w:t>.</w:t>
      </w: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1451E3" w:rsidRDefault="0036448D" w:rsidP="001451E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1451E3">
        <w:rPr>
          <w:rFonts w:ascii="Arial" w:eastAsia="Calibri" w:hAnsi="Arial" w:cs="Arial"/>
          <w:b/>
          <w:sz w:val="24"/>
          <w:szCs w:val="24"/>
        </w:rPr>
        <w:t>II. Do mérito e conclusões d</w:t>
      </w:r>
      <w:r w:rsidR="00814941">
        <w:rPr>
          <w:rFonts w:ascii="Arial" w:eastAsia="Calibri" w:hAnsi="Arial" w:cs="Arial"/>
          <w:b/>
          <w:sz w:val="24"/>
          <w:szCs w:val="24"/>
        </w:rPr>
        <w:t>a</w:t>
      </w:r>
      <w:r w:rsidRPr="001451E3">
        <w:rPr>
          <w:rFonts w:ascii="Arial" w:eastAsia="Calibri" w:hAnsi="Arial" w:cs="Arial"/>
          <w:b/>
          <w:sz w:val="24"/>
          <w:szCs w:val="24"/>
        </w:rPr>
        <w:t xml:space="preserve"> relator</w:t>
      </w:r>
      <w:r w:rsidR="00814941">
        <w:rPr>
          <w:rFonts w:ascii="Arial" w:eastAsia="Calibri" w:hAnsi="Arial" w:cs="Arial"/>
          <w:b/>
          <w:sz w:val="24"/>
          <w:szCs w:val="24"/>
        </w:rPr>
        <w:t>a</w:t>
      </w:r>
      <w:r w:rsidRPr="001451E3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1451E3" w:rsidRDefault="00560F14" w:rsidP="00C9386C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9386C" w:rsidRDefault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Analisando os dispositivos citados pelo recorrente, denota-se que os argumentos tecidos não encontram guarida no ordenamento jurídico vigente e merecem ser rechaçados. Vejamos:</w:t>
      </w:r>
    </w:p>
    <w:p w:rsidR="00C9386C" w:rsidRDefault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C9386C" w:rsidRDefault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minucioso estudo do Processo n.º </w:t>
      </w:r>
      <w:r w:rsidR="00E9610B">
        <w:rPr>
          <w:rFonts w:ascii="Arial" w:hAnsi="Arial" w:cs="Arial"/>
          <w:sz w:val="24"/>
          <w:szCs w:val="24"/>
        </w:rPr>
        <w:t>152/21</w:t>
      </w:r>
      <w:r>
        <w:rPr>
          <w:rFonts w:ascii="Arial" w:hAnsi="Arial" w:cs="Arial"/>
          <w:sz w:val="24"/>
          <w:szCs w:val="24"/>
        </w:rPr>
        <w:t xml:space="preserve">, através do qual tramitou o Projeto de Lei n.º </w:t>
      </w:r>
      <w:r w:rsidR="00E9610B">
        <w:rPr>
          <w:rFonts w:ascii="Arial" w:hAnsi="Arial" w:cs="Arial"/>
          <w:sz w:val="24"/>
          <w:szCs w:val="24"/>
        </w:rPr>
        <w:t>121</w:t>
      </w:r>
      <w:r>
        <w:rPr>
          <w:rFonts w:ascii="Arial" w:hAnsi="Arial" w:cs="Arial"/>
          <w:sz w:val="24"/>
          <w:szCs w:val="24"/>
        </w:rPr>
        <w:t xml:space="preserve">, verifica-se às fls. </w:t>
      </w:r>
      <w:r w:rsidR="00E9610B">
        <w:rPr>
          <w:rFonts w:ascii="Arial" w:hAnsi="Arial" w:cs="Arial"/>
          <w:sz w:val="24"/>
          <w:szCs w:val="24"/>
        </w:rPr>
        <w:t>117/129</w:t>
      </w:r>
      <w:r>
        <w:rPr>
          <w:rFonts w:ascii="Arial" w:hAnsi="Arial" w:cs="Arial"/>
          <w:sz w:val="24"/>
          <w:szCs w:val="24"/>
        </w:rPr>
        <w:t xml:space="preserve">, Parecer exarado pela Comissão de Finanças e Orçamento em cumprimento ao requisito previsto no artigo </w:t>
      </w:r>
      <w:r w:rsidR="00E9610B">
        <w:rPr>
          <w:rFonts w:ascii="Arial" w:hAnsi="Arial" w:cs="Arial"/>
          <w:sz w:val="24"/>
          <w:szCs w:val="24"/>
        </w:rPr>
        <w:t>208, § 6º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Regimento Interno.</w:t>
      </w:r>
    </w:p>
    <w:p w:rsidR="00C9386C" w:rsidRDefault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576F6C" w:rsidRDefault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6F6C">
        <w:rPr>
          <w:rFonts w:ascii="Arial" w:hAnsi="Arial" w:cs="Arial"/>
          <w:sz w:val="24"/>
          <w:szCs w:val="24"/>
        </w:rPr>
        <w:t xml:space="preserve">Por outro lado, realmente não consta a designação </w:t>
      </w:r>
      <w:r w:rsidR="00AF0C69">
        <w:rPr>
          <w:rFonts w:ascii="Arial" w:hAnsi="Arial" w:cs="Arial"/>
          <w:sz w:val="24"/>
          <w:szCs w:val="24"/>
        </w:rPr>
        <w:t>pel</w:t>
      </w:r>
      <w:r w:rsidR="00576F6C">
        <w:rPr>
          <w:rFonts w:ascii="Arial" w:hAnsi="Arial" w:cs="Arial"/>
          <w:sz w:val="24"/>
          <w:szCs w:val="24"/>
        </w:rPr>
        <w:t>o Presidente</w:t>
      </w:r>
      <w:r w:rsidR="00AF0C69">
        <w:rPr>
          <w:rFonts w:ascii="Arial" w:hAnsi="Arial" w:cs="Arial"/>
          <w:sz w:val="24"/>
          <w:szCs w:val="24"/>
        </w:rPr>
        <w:t xml:space="preserve"> da Comissão</w:t>
      </w:r>
      <w:r w:rsidR="00576F6C">
        <w:rPr>
          <w:rFonts w:ascii="Arial" w:hAnsi="Arial" w:cs="Arial"/>
          <w:sz w:val="24"/>
          <w:szCs w:val="24"/>
        </w:rPr>
        <w:t xml:space="preserve"> de um relator, o que poderia, mediante análise perfunctória do Regimento, gerar dúvidas acerca de possíveis nulidades.</w:t>
      </w:r>
    </w:p>
    <w:p w:rsidR="00576F6C" w:rsidRDefault="00576F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E9610B" w:rsidRDefault="00576F6C" w:rsidP="00E9610B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Ocorre que, </w:t>
      </w:r>
      <w:r w:rsidR="00E9610B">
        <w:rPr>
          <w:rFonts w:ascii="Arial" w:hAnsi="Arial" w:cs="Arial"/>
          <w:sz w:val="24"/>
          <w:szCs w:val="24"/>
        </w:rPr>
        <w:t>o Regimento Interno</w:t>
      </w:r>
      <w:r w:rsidR="00422C0C">
        <w:rPr>
          <w:rFonts w:ascii="Arial" w:hAnsi="Arial" w:cs="Arial"/>
          <w:sz w:val="24"/>
          <w:szCs w:val="24"/>
        </w:rPr>
        <w:t xml:space="preserve"> vigente</w:t>
      </w:r>
      <w:r w:rsidR="00E9610B">
        <w:rPr>
          <w:rFonts w:ascii="Arial" w:hAnsi="Arial" w:cs="Arial"/>
          <w:sz w:val="24"/>
          <w:szCs w:val="24"/>
        </w:rPr>
        <w:t xml:space="preserve"> não exig</w:t>
      </w:r>
      <w:r w:rsidR="00422C0C">
        <w:rPr>
          <w:rFonts w:ascii="Arial" w:hAnsi="Arial" w:cs="Arial"/>
          <w:sz w:val="24"/>
          <w:szCs w:val="24"/>
        </w:rPr>
        <w:t>e</w:t>
      </w:r>
      <w:r w:rsidR="00E9610B">
        <w:rPr>
          <w:rFonts w:ascii="Arial" w:hAnsi="Arial" w:cs="Arial"/>
          <w:sz w:val="24"/>
          <w:szCs w:val="24"/>
        </w:rPr>
        <w:t xml:space="preserve"> forma escrita </w:t>
      </w:r>
      <w:r w:rsidR="00F16CF0">
        <w:rPr>
          <w:rFonts w:ascii="Arial" w:hAnsi="Arial" w:cs="Arial"/>
          <w:sz w:val="24"/>
          <w:szCs w:val="24"/>
        </w:rPr>
        <w:t>como requisito de validade</w:t>
      </w:r>
      <w:r w:rsidR="00E9610B">
        <w:rPr>
          <w:rFonts w:ascii="Arial" w:hAnsi="Arial" w:cs="Arial"/>
          <w:sz w:val="24"/>
          <w:szCs w:val="24"/>
        </w:rPr>
        <w:t xml:space="preserve"> do ato</w:t>
      </w:r>
      <w:r>
        <w:rPr>
          <w:rFonts w:ascii="Arial" w:hAnsi="Arial" w:cs="Arial"/>
          <w:sz w:val="24"/>
          <w:szCs w:val="24"/>
        </w:rPr>
        <w:t xml:space="preserve"> de designação de relator</w:t>
      </w:r>
      <w:r w:rsidR="00422C0C">
        <w:rPr>
          <w:rFonts w:ascii="Arial" w:hAnsi="Arial" w:cs="Arial"/>
          <w:sz w:val="24"/>
          <w:szCs w:val="24"/>
        </w:rPr>
        <w:t xml:space="preserve">, podendo a </w:t>
      </w:r>
      <w:r w:rsidR="00E9610B">
        <w:rPr>
          <w:rFonts w:ascii="Arial" w:eastAsia="Calibri" w:hAnsi="Arial" w:cs="Arial"/>
          <w:sz w:val="24"/>
          <w:szCs w:val="24"/>
        </w:rPr>
        <w:t>nomeação tranquilamente ser realizada de forma verbal garantindo igualmente a legalidade do ato.</w:t>
      </w:r>
    </w:p>
    <w:p w:rsidR="00576F6C" w:rsidRDefault="00576F6C" w:rsidP="00E9610B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76F6C" w:rsidRDefault="00576F6C" w:rsidP="00576F6C">
      <w:pPr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Inclusive e corroborando a linha de raciocínio acima exposta, denota-se que o artigo 54, por exemplo, deixa clara a exigência da formalidade escrita do ato administrativo “Parecer”, ao contrário do que ocorre na designação do relator.</w:t>
      </w:r>
    </w:p>
    <w:p w:rsidR="00F16CF0" w:rsidRDefault="00F16CF0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F16CF0" w:rsidRDefault="00F16CF0" w:rsidP="00C9386C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Assim, no</w:t>
      </w:r>
      <w:r w:rsidR="00576F6C">
        <w:rPr>
          <w:rFonts w:ascii="Arial" w:hAnsi="Arial" w:cs="Arial"/>
          <w:sz w:val="24"/>
          <w:szCs w:val="24"/>
        </w:rPr>
        <w:t xml:space="preserve"> caso de </w:t>
      </w:r>
      <w:r w:rsidR="00422C0C">
        <w:rPr>
          <w:rFonts w:ascii="Arial" w:hAnsi="Arial" w:cs="Arial"/>
          <w:sz w:val="24"/>
          <w:szCs w:val="24"/>
        </w:rPr>
        <w:t>nomeação</w:t>
      </w:r>
      <w:r w:rsidR="00576F6C">
        <w:rPr>
          <w:rFonts w:ascii="Arial" w:hAnsi="Arial" w:cs="Arial"/>
          <w:sz w:val="24"/>
          <w:szCs w:val="24"/>
        </w:rPr>
        <w:t xml:space="preserve"> de relator</w:t>
      </w:r>
      <w:r w:rsidR="00422C0C">
        <w:rPr>
          <w:rFonts w:ascii="Arial" w:hAnsi="Arial" w:cs="Arial"/>
          <w:sz w:val="24"/>
          <w:szCs w:val="24"/>
        </w:rPr>
        <w:t xml:space="preserve"> pelo Presidente</w:t>
      </w:r>
      <w:r>
        <w:rPr>
          <w:rFonts w:ascii="Arial" w:hAnsi="Arial" w:cs="Arial"/>
          <w:sz w:val="24"/>
          <w:szCs w:val="24"/>
        </w:rPr>
        <w:t xml:space="preserve">, não há como alegar nulidade do Parecer devido à suposta infringência aos </w:t>
      </w:r>
      <w:r>
        <w:rPr>
          <w:rFonts w:ascii="Arial" w:eastAsia="Calibri" w:hAnsi="Arial" w:cs="Arial"/>
          <w:sz w:val="24"/>
          <w:szCs w:val="24"/>
        </w:rPr>
        <w:t>artigos 44, inciso III e §1°, artigo 49, §§ 3º e 5º</w:t>
      </w:r>
      <w:r w:rsidR="00E9610B">
        <w:rPr>
          <w:rFonts w:ascii="Arial" w:eastAsia="Calibri" w:hAnsi="Arial" w:cs="Arial"/>
          <w:sz w:val="24"/>
          <w:szCs w:val="24"/>
        </w:rPr>
        <w:t xml:space="preserve"> </w:t>
      </w:r>
      <w:r w:rsidR="00E9610B">
        <w:rPr>
          <w:rFonts w:ascii="Arial" w:hAnsi="Arial" w:cs="Arial"/>
          <w:sz w:val="24"/>
          <w:szCs w:val="24"/>
        </w:rPr>
        <w:t xml:space="preserve">uma vez que </w:t>
      </w:r>
      <w:r w:rsidR="00576F6C">
        <w:rPr>
          <w:rFonts w:ascii="Arial" w:hAnsi="Arial" w:cs="Arial"/>
          <w:sz w:val="24"/>
          <w:szCs w:val="24"/>
        </w:rPr>
        <w:t>o ato deu-se verbalmente</w:t>
      </w:r>
      <w:r>
        <w:rPr>
          <w:rFonts w:ascii="Arial" w:eastAsia="Calibri" w:hAnsi="Arial" w:cs="Arial"/>
          <w:sz w:val="24"/>
          <w:szCs w:val="24"/>
        </w:rPr>
        <w:t>.</w:t>
      </w:r>
    </w:p>
    <w:p w:rsidR="007103BA" w:rsidRDefault="00F16CF0" w:rsidP="00576F6C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7103BA">
        <w:rPr>
          <w:rFonts w:ascii="Arial" w:eastAsia="Calibri" w:hAnsi="Arial" w:cs="Arial"/>
          <w:sz w:val="24"/>
          <w:szCs w:val="24"/>
        </w:rPr>
        <w:t xml:space="preserve"> </w:t>
      </w:r>
    </w:p>
    <w:p w:rsidR="007103BA" w:rsidRDefault="007103BA" w:rsidP="00C9386C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 acordo com a alínea “b” do parágrafo único do artigo 2º da Lei Federal 4.717/65, o vício de forma é caracterizado pela inobservância de formalidades indispensáveis à existência ou seriedade do ato.</w:t>
      </w:r>
    </w:p>
    <w:p w:rsidR="006A2C1E" w:rsidRDefault="00F16CF0" w:rsidP="00C9386C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E9610B" w:rsidRDefault="006A2C1E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103B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esta toada</w:t>
      </w:r>
      <w:r w:rsidR="007103BA">
        <w:rPr>
          <w:rFonts w:ascii="Arial" w:hAnsi="Arial" w:cs="Arial"/>
          <w:sz w:val="24"/>
          <w:szCs w:val="24"/>
        </w:rPr>
        <w:t xml:space="preserve"> verifica-se que a falta de nomeação por escrito de um relator não trouxe qualquer prejuízo à existência</w:t>
      </w:r>
      <w:r w:rsidR="00576F6C">
        <w:rPr>
          <w:rFonts w:ascii="Arial" w:hAnsi="Arial" w:cs="Arial"/>
          <w:sz w:val="24"/>
          <w:szCs w:val="24"/>
        </w:rPr>
        <w:t xml:space="preserve"> ou legalidade</w:t>
      </w:r>
      <w:r w:rsidR="007103BA">
        <w:rPr>
          <w:rFonts w:ascii="Arial" w:hAnsi="Arial" w:cs="Arial"/>
          <w:sz w:val="24"/>
          <w:szCs w:val="24"/>
        </w:rPr>
        <w:t xml:space="preserve"> do ato</w:t>
      </w:r>
      <w:r>
        <w:rPr>
          <w:rFonts w:ascii="Arial" w:hAnsi="Arial" w:cs="Arial"/>
          <w:sz w:val="24"/>
          <w:szCs w:val="24"/>
        </w:rPr>
        <w:t xml:space="preserve">, </w:t>
      </w:r>
      <w:r w:rsidR="007103BA">
        <w:rPr>
          <w:rFonts w:ascii="Arial" w:hAnsi="Arial" w:cs="Arial"/>
          <w:sz w:val="24"/>
          <w:szCs w:val="24"/>
        </w:rPr>
        <w:t>já que</w:t>
      </w:r>
      <w:r w:rsidR="00E9610B">
        <w:rPr>
          <w:rFonts w:ascii="Arial" w:hAnsi="Arial" w:cs="Arial"/>
          <w:sz w:val="24"/>
          <w:szCs w:val="24"/>
        </w:rPr>
        <w:t xml:space="preserve"> isso não signific</w:t>
      </w:r>
      <w:r w:rsidR="00576F6C">
        <w:rPr>
          <w:rFonts w:ascii="Arial" w:hAnsi="Arial" w:cs="Arial"/>
          <w:sz w:val="24"/>
          <w:szCs w:val="24"/>
        </w:rPr>
        <w:t>ou</w:t>
      </w:r>
      <w:r w:rsidR="00E9610B">
        <w:rPr>
          <w:rFonts w:ascii="Arial" w:hAnsi="Arial" w:cs="Arial"/>
          <w:sz w:val="24"/>
          <w:szCs w:val="24"/>
        </w:rPr>
        <w:t xml:space="preserve"> a ausência da designação.</w:t>
      </w:r>
    </w:p>
    <w:p w:rsidR="00026D4D" w:rsidRDefault="00026D4D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576F6C" w:rsidRDefault="00026D4D" w:rsidP="00576F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B2CBE">
        <w:rPr>
          <w:rFonts w:ascii="Arial" w:hAnsi="Arial" w:cs="Arial"/>
          <w:sz w:val="24"/>
          <w:szCs w:val="24"/>
        </w:rPr>
        <w:t>E</w:t>
      </w:r>
      <w:r w:rsidR="00576F6C">
        <w:rPr>
          <w:rFonts w:ascii="Arial" w:hAnsi="Arial" w:cs="Arial"/>
          <w:sz w:val="24"/>
          <w:szCs w:val="24"/>
        </w:rPr>
        <w:t>m análise do artigo 127 constata-se que o autor do documento foi o Vereador Alexandre Cintra, sendo este, portanto, o relator, cuja manifestação passou a ser formalmente o Parecer da Comissão após aposição d</w:t>
      </w:r>
      <w:r w:rsidR="006D5BCE">
        <w:rPr>
          <w:rFonts w:ascii="Arial" w:hAnsi="Arial" w:cs="Arial"/>
          <w:sz w:val="24"/>
          <w:szCs w:val="24"/>
        </w:rPr>
        <w:t>e assinatura d</w:t>
      </w:r>
      <w:r w:rsidR="00576F6C">
        <w:rPr>
          <w:rFonts w:ascii="Arial" w:hAnsi="Arial" w:cs="Arial"/>
          <w:sz w:val="24"/>
          <w:szCs w:val="24"/>
        </w:rPr>
        <w:t xml:space="preserve">a vereadora Mara </w:t>
      </w:r>
      <w:proofErr w:type="spellStart"/>
      <w:r w:rsidR="00576F6C">
        <w:rPr>
          <w:rFonts w:ascii="Arial" w:hAnsi="Arial" w:cs="Arial"/>
          <w:sz w:val="24"/>
          <w:szCs w:val="24"/>
        </w:rPr>
        <w:t>Choquetta</w:t>
      </w:r>
      <w:proofErr w:type="spellEnd"/>
      <w:r w:rsidR="00576F6C">
        <w:rPr>
          <w:rFonts w:ascii="Arial" w:hAnsi="Arial" w:cs="Arial"/>
          <w:sz w:val="24"/>
          <w:szCs w:val="24"/>
        </w:rPr>
        <w:t>, formando a maioria exigida pelo artigo 55, §1º do Regimento Interno.</w:t>
      </w:r>
    </w:p>
    <w:p w:rsidR="006D5BCE" w:rsidRDefault="006D5BCE" w:rsidP="00576F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D5BCE" w:rsidRDefault="006D5BCE" w:rsidP="006D5BCE">
      <w:pPr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suma: </w:t>
      </w:r>
      <w:r>
        <w:rPr>
          <w:rFonts w:ascii="Arial" w:eastAsia="Calibri" w:hAnsi="Arial" w:cs="Arial"/>
          <w:sz w:val="24"/>
          <w:szCs w:val="24"/>
        </w:rPr>
        <w:t>após a nomeação verbal de um relator, foi formalizado o relatório de autoria do primeiro signatário, transformado em parecer após aprovação da maioria dos membros.</w:t>
      </w:r>
    </w:p>
    <w:p w:rsidR="006A2C1E" w:rsidRDefault="006A2C1E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D5BCE" w:rsidRDefault="006A2C1E" w:rsidP="00C9386C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03BA">
        <w:rPr>
          <w:rFonts w:ascii="Arial" w:hAnsi="Arial" w:cs="Arial"/>
          <w:sz w:val="24"/>
          <w:szCs w:val="24"/>
        </w:rPr>
        <w:t xml:space="preserve">Portanto, não se vislumbra qualquer irregularidade ou ilegalidade nos atos praticados pela Comissão de Finanças, tendo sido cumpridos os </w:t>
      </w:r>
      <w:r w:rsidR="007103BA">
        <w:rPr>
          <w:rFonts w:ascii="Arial" w:eastAsia="Calibri" w:hAnsi="Arial" w:cs="Arial"/>
          <w:sz w:val="24"/>
          <w:szCs w:val="24"/>
        </w:rPr>
        <w:t>artigos 44, inciso III e §1°, artigo 49, §§ 3º e 5º e 55 §1º do Regimento Interno</w:t>
      </w:r>
      <w:r w:rsidR="006D5BCE">
        <w:rPr>
          <w:rFonts w:ascii="Arial" w:eastAsia="Calibri" w:hAnsi="Arial" w:cs="Arial"/>
          <w:sz w:val="24"/>
          <w:szCs w:val="24"/>
        </w:rPr>
        <w:t>.</w:t>
      </w:r>
    </w:p>
    <w:p w:rsidR="00A81241" w:rsidRDefault="00A81241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B2CBE" w:rsidRDefault="007103BA" w:rsidP="008B2CB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Já no tocante ao possível descumprimento do artigo </w:t>
      </w:r>
      <w:r>
        <w:rPr>
          <w:rFonts w:ascii="Arial" w:eastAsia="Calibri" w:hAnsi="Arial" w:cs="Arial"/>
          <w:sz w:val="24"/>
          <w:szCs w:val="24"/>
        </w:rPr>
        <w:t>54 do Regimento Interno</w:t>
      </w:r>
      <w:r w:rsidR="008B2CBE">
        <w:rPr>
          <w:rFonts w:ascii="Arial" w:eastAsia="Calibri" w:hAnsi="Arial" w:cs="Arial"/>
          <w:sz w:val="24"/>
          <w:szCs w:val="24"/>
        </w:rPr>
        <w:t xml:space="preserve">, citado dispositivo </w:t>
      </w:r>
      <w:r w:rsidR="008B2CBE">
        <w:rPr>
          <w:rFonts w:ascii="Arial" w:hAnsi="Arial" w:cs="Arial"/>
          <w:sz w:val="24"/>
          <w:szCs w:val="24"/>
        </w:rPr>
        <w:t>define como Parecer “</w:t>
      </w:r>
      <w:r w:rsidR="008B2CBE" w:rsidRPr="00B42F9C">
        <w:rPr>
          <w:rFonts w:ascii="Arial" w:hAnsi="Arial" w:cs="Arial"/>
          <w:i/>
          <w:sz w:val="24"/>
          <w:szCs w:val="24"/>
        </w:rPr>
        <w:t>o pronunciamento da comissão sobre qualquer matéria sujeita ao seu estudo</w:t>
      </w:r>
      <w:r w:rsidR="008B2CBE">
        <w:rPr>
          <w:rFonts w:ascii="Arial" w:hAnsi="Arial" w:cs="Arial"/>
          <w:sz w:val="24"/>
          <w:szCs w:val="24"/>
        </w:rPr>
        <w:t xml:space="preserve">”. </w:t>
      </w:r>
    </w:p>
    <w:p w:rsidR="00A81241" w:rsidRDefault="00A81241" w:rsidP="00C9386C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8B2CBE" w:rsidRDefault="008B2CBE" w:rsidP="008B2CB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O documento de fls. 117/129 foi devidamente elaborado e assinado por dois membros da Comissão de Finanças e Orçamento, cumprindo com a finalidade prevista no artigo 54 do Regimento Interno. </w:t>
      </w:r>
    </w:p>
    <w:p w:rsidR="006D5BCE" w:rsidRDefault="006D5BCE" w:rsidP="00C9386C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8B2CBE" w:rsidRDefault="008B2CBE" w:rsidP="008B2CB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Através dele, a Comissão de Finanças fez breve exposição da matéria</w:t>
      </w:r>
      <w:r w:rsidR="00026D4D">
        <w:rPr>
          <w:rFonts w:ascii="Arial" w:hAnsi="Arial" w:cs="Arial"/>
          <w:sz w:val="24"/>
          <w:szCs w:val="24"/>
        </w:rPr>
        <w:t xml:space="preserve"> às fls. 117/128, conforme exigência do inciso II</w:t>
      </w:r>
      <w:r>
        <w:rPr>
          <w:rFonts w:ascii="Arial" w:hAnsi="Arial" w:cs="Arial"/>
          <w:sz w:val="24"/>
          <w:szCs w:val="24"/>
        </w:rPr>
        <w:t>, opinou pela conveniência da aprovação</w:t>
      </w:r>
      <w:r w:rsidR="00026D4D">
        <w:rPr>
          <w:rFonts w:ascii="Arial" w:hAnsi="Arial" w:cs="Arial"/>
          <w:sz w:val="24"/>
          <w:szCs w:val="24"/>
        </w:rPr>
        <w:t xml:space="preserve"> às fls. 128/129, conforme exigência do inciso III, alínea “b”</w:t>
      </w:r>
      <w:r>
        <w:rPr>
          <w:rFonts w:ascii="Arial" w:hAnsi="Arial" w:cs="Arial"/>
          <w:sz w:val="24"/>
          <w:szCs w:val="24"/>
        </w:rPr>
        <w:t xml:space="preserve"> e decidiu com a assinatura dos membros que votaram a favor do Relatório</w:t>
      </w:r>
      <w:r w:rsidR="00026D4D">
        <w:rPr>
          <w:rFonts w:ascii="Arial" w:hAnsi="Arial" w:cs="Arial"/>
          <w:sz w:val="24"/>
          <w:szCs w:val="24"/>
        </w:rPr>
        <w:t xml:space="preserve"> às fls. 128</w:t>
      </w:r>
      <w:r>
        <w:rPr>
          <w:rFonts w:ascii="Arial" w:hAnsi="Arial" w:cs="Arial"/>
          <w:sz w:val="24"/>
          <w:szCs w:val="24"/>
        </w:rPr>
        <w:t>, transformando-o em Parecer</w:t>
      </w:r>
      <w:r w:rsidR="00026D4D">
        <w:rPr>
          <w:rFonts w:ascii="Arial" w:hAnsi="Arial" w:cs="Arial"/>
          <w:sz w:val="24"/>
          <w:szCs w:val="24"/>
        </w:rPr>
        <w:t>, conforme inciso IV e artigo 55, §1º</w:t>
      </w:r>
      <w:r>
        <w:rPr>
          <w:rFonts w:ascii="Arial" w:hAnsi="Arial" w:cs="Arial"/>
          <w:sz w:val="24"/>
          <w:szCs w:val="24"/>
        </w:rPr>
        <w:t>.</w:t>
      </w:r>
    </w:p>
    <w:p w:rsidR="008B2CBE" w:rsidRDefault="008B2CBE" w:rsidP="008B2CB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D5BCE" w:rsidRDefault="008B2CBE" w:rsidP="008B2CB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Assim, restam afastadas as alegações de nulidade tecidas pelo recorrente, posto que constat</w:t>
      </w:r>
      <w:r w:rsidR="006A780E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o integral cumprimento aos dispositivos regimentais.</w:t>
      </w:r>
    </w:p>
    <w:p w:rsidR="003B4194" w:rsidRPr="001451E3" w:rsidRDefault="00AC40B2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28B2" w:rsidRDefault="008B2CBE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A780E">
        <w:rPr>
          <w:rFonts w:ascii="Arial" w:hAnsi="Arial" w:cs="Arial"/>
          <w:sz w:val="24"/>
          <w:szCs w:val="24"/>
        </w:rPr>
        <w:t xml:space="preserve">Importante destacar, apenas por amor ao debate, que mesmo que entendêssemos como existentes as falhas alegadas pelo Recorrente, nem ao </w:t>
      </w:r>
      <w:r w:rsidR="00F628B2">
        <w:rPr>
          <w:rFonts w:ascii="Arial" w:hAnsi="Arial" w:cs="Arial"/>
          <w:sz w:val="24"/>
          <w:szCs w:val="24"/>
        </w:rPr>
        <w:t xml:space="preserve">longe </w:t>
      </w:r>
      <w:r w:rsidR="006A780E">
        <w:rPr>
          <w:rFonts w:ascii="Arial" w:hAnsi="Arial" w:cs="Arial"/>
          <w:sz w:val="24"/>
          <w:szCs w:val="24"/>
        </w:rPr>
        <w:t xml:space="preserve">as mesmas </w:t>
      </w:r>
      <w:r w:rsidR="00F628B2">
        <w:rPr>
          <w:rFonts w:ascii="Arial" w:hAnsi="Arial" w:cs="Arial"/>
          <w:sz w:val="24"/>
          <w:szCs w:val="24"/>
        </w:rPr>
        <w:t>seriam suficientes para causar a nulidade</w:t>
      </w:r>
      <w:r w:rsidR="006A780E">
        <w:rPr>
          <w:rFonts w:ascii="Arial" w:hAnsi="Arial" w:cs="Arial"/>
          <w:sz w:val="24"/>
          <w:szCs w:val="24"/>
        </w:rPr>
        <w:t xml:space="preserve"> no procedimento legislativo.</w:t>
      </w:r>
    </w:p>
    <w:p w:rsidR="00F628B2" w:rsidRDefault="00F628B2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A780E" w:rsidRDefault="006A780E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As supostas irregularidades em momento algum causaram prejuízo ao bom andamento do Projeto de Lei n.º 121/21, posto que a Comissão de Finanças e Orçamento cumpriu com sua finalidade.</w:t>
      </w:r>
    </w:p>
    <w:p w:rsidR="006A780E" w:rsidRDefault="006A780E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A780E" w:rsidRDefault="006A780E" w:rsidP="006A780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O Projeto foi exaustivamente estudado pelos membros, resultando na elaboração de um Parecer técnico onde dois dos membros apostaram assinatura, exarando manifestação acerca de matéria de sua competência. </w:t>
      </w:r>
    </w:p>
    <w:p w:rsidR="006A780E" w:rsidRDefault="006A780E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3B4194" w:rsidRDefault="006A780E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66E99">
        <w:rPr>
          <w:rFonts w:ascii="Arial" w:hAnsi="Arial" w:cs="Arial"/>
          <w:sz w:val="24"/>
          <w:szCs w:val="24"/>
        </w:rPr>
        <w:t>A Teoria dos Atos Administrativos determina que os atos mesmo que portadores de vício de legalidade devem ser convalidados visando a segurança jurídica.</w:t>
      </w:r>
    </w:p>
    <w:p w:rsidR="00766E99" w:rsidRDefault="00766E99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766E99" w:rsidRDefault="00766E99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Embora exista a possibilidade de invalidar ou anular, deve-se prevalecer a sua permanência no ordenamento jurídico, desde que não haja prejuízo a terceiros ou má fé. A retirada posterior é remédio extremo, que deve ser adotada em casos excepcionais.</w:t>
      </w:r>
    </w:p>
    <w:p w:rsidR="00766E99" w:rsidRDefault="00766E99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766E99" w:rsidRDefault="00766E99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presente caso, verifica-se que as alegações suscitadas não acarretaram em qualquer prejuízo, já que</w:t>
      </w:r>
      <w:r w:rsidR="00C93424">
        <w:rPr>
          <w:rFonts w:ascii="Arial" w:hAnsi="Arial" w:cs="Arial"/>
          <w:sz w:val="24"/>
          <w:szCs w:val="24"/>
        </w:rPr>
        <w:t>, mesmo que considerássemos como plausíveis os apontamentos do recorrente,</w:t>
      </w:r>
      <w:r>
        <w:rPr>
          <w:rFonts w:ascii="Arial" w:hAnsi="Arial" w:cs="Arial"/>
          <w:sz w:val="24"/>
          <w:szCs w:val="24"/>
        </w:rPr>
        <w:t xml:space="preserve"> a análise técnica da Comissão foi realizada </w:t>
      </w:r>
      <w:r w:rsidR="00C93424">
        <w:rPr>
          <w:rFonts w:ascii="Arial" w:hAnsi="Arial" w:cs="Arial"/>
          <w:sz w:val="24"/>
          <w:szCs w:val="24"/>
        </w:rPr>
        <w:t>mediante o documento de fls. 11</w:t>
      </w:r>
      <w:r w:rsidR="00576AB5">
        <w:rPr>
          <w:rFonts w:ascii="Arial" w:hAnsi="Arial" w:cs="Arial"/>
          <w:sz w:val="24"/>
          <w:szCs w:val="24"/>
        </w:rPr>
        <w:t>7</w:t>
      </w:r>
      <w:r w:rsidR="00C93424">
        <w:rPr>
          <w:rFonts w:ascii="Arial" w:hAnsi="Arial" w:cs="Arial"/>
          <w:sz w:val="24"/>
          <w:szCs w:val="24"/>
        </w:rPr>
        <w:t>/12</w:t>
      </w:r>
      <w:r w:rsidR="00576AB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766E99" w:rsidRDefault="00766E99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766E99" w:rsidRDefault="00766E99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Aliás</w:t>
      </w:r>
      <w:r w:rsidR="00AA55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declaração de nulidade com base nas alegações expostas em sua peça de inconformismo poderia </w:t>
      </w:r>
      <w:r w:rsidR="00C93424">
        <w:rPr>
          <w:rFonts w:ascii="Arial" w:hAnsi="Arial" w:cs="Arial"/>
          <w:sz w:val="24"/>
          <w:szCs w:val="24"/>
        </w:rPr>
        <w:t xml:space="preserve">gerar precedente para requerimentos de invalidação de incontáveis processos legislativos, </w:t>
      </w:r>
      <w:r w:rsidR="00AA5560">
        <w:rPr>
          <w:rFonts w:ascii="Arial" w:hAnsi="Arial" w:cs="Arial"/>
          <w:sz w:val="24"/>
          <w:szCs w:val="24"/>
        </w:rPr>
        <w:t>causando</w:t>
      </w:r>
      <w:r w:rsidR="00C93424">
        <w:rPr>
          <w:rFonts w:ascii="Arial" w:hAnsi="Arial" w:cs="Arial"/>
          <w:sz w:val="24"/>
          <w:szCs w:val="24"/>
        </w:rPr>
        <w:t xml:space="preserve"> uma insegurança jurídica de proporções catastróficas para a cidade.</w:t>
      </w:r>
    </w:p>
    <w:p w:rsidR="00AA5560" w:rsidRDefault="00AA5560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A5560" w:rsidRDefault="00AA5560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0208">
        <w:rPr>
          <w:rFonts w:ascii="Arial" w:hAnsi="Arial" w:cs="Arial"/>
          <w:sz w:val="24"/>
          <w:szCs w:val="24"/>
        </w:rPr>
        <w:t>Mediante simples análise de pareceres exarados até mesmo com relatoria do próprio recorrente constata-se muitas vezes que o excesso de rigor e formalidade exigido no Recurso também não foi a</w:t>
      </w:r>
      <w:r w:rsidR="00576AB5">
        <w:rPr>
          <w:rFonts w:ascii="Arial" w:hAnsi="Arial" w:cs="Arial"/>
          <w:sz w:val="24"/>
          <w:szCs w:val="24"/>
        </w:rPr>
        <w:t>tendido</w:t>
      </w:r>
      <w:r w:rsidR="00EC0208">
        <w:rPr>
          <w:rFonts w:ascii="Arial" w:hAnsi="Arial" w:cs="Arial"/>
          <w:sz w:val="24"/>
          <w:szCs w:val="24"/>
        </w:rPr>
        <w:t>, sem que houvesse qualquer prejuízo ou má fé na conduta.</w:t>
      </w:r>
    </w:p>
    <w:p w:rsidR="00C93424" w:rsidRDefault="00C93424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EC0208" w:rsidRDefault="00C93424" w:rsidP="00576AB5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4194" w:rsidRPr="001451E3">
        <w:rPr>
          <w:rFonts w:ascii="Arial" w:hAnsi="Arial" w:cs="Arial"/>
          <w:sz w:val="24"/>
          <w:szCs w:val="24"/>
        </w:rPr>
        <w:t xml:space="preserve">Nesta toada, vislumbra-se a importância de abrir o precedente </w:t>
      </w:r>
      <w:r>
        <w:rPr>
          <w:rFonts w:ascii="Arial" w:hAnsi="Arial" w:cs="Arial"/>
          <w:sz w:val="24"/>
          <w:szCs w:val="24"/>
        </w:rPr>
        <w:t xml:space="preserve">conforme decisão da Presidência da Casa, firmando entendimento de que os questionamentos formalizados não </w:t>
      </w:r>
      <w:r w:rsidR="00EC0208">
        <w:rPr>
          <w:rFonts w:ascii="Arial" w:hAnsi="Arial" w:cs="Arial"/>
          <w:sz w:val="24"/>
          <w:szCs w:val="24"/>
        </w:rPr>
        <w:t>geram a nulidade do processo legislativo</w:t>
      </w:r>
      <w:r>
        <w:rPr>
          <w:rFonts w:ascii="Arial" w:hAnsi="Arial" w:cs="Arial"/>
          <w:sz w:val="24"/>
          <w:szCs w:val="24"/>
        </w:rPr>
        <w:t>.</w:t>
      </w:r>
    </w:p>
    <w:p w:rsidR="00EC0208" w:rsidRDefault="00EC0208" w:rsidP="00EC0208">
      <w:pPr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:rsidR="00C93424" w:rsidRDefault="00EC0208" w:rsidP="00EC0208">
      <w:pPr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 diante de uma possível falta de nomeação formal de relatoria ou de elaboração de relatório precedendo o parecer, não é crível considerar que haja nulidade no processo legislativo desde que atendidas as finalidades do Regimento Interno.</w:t>
      </w:r>
    </w:p>
    <w:p w:rsidR="00F628B2" w:rsidRPr="001451E3" w:rsidRDefault="00C93424" w:rsidP="00EC0208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EC0208" w:rsidRDefault="00AA5560" w:rsidP="001451E3">
      <w:pPr>
        <w:spacing w:line="3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4194" w:rsidRPr="001451E3">
        <w:rPr>
          <w:rFonts w:ascii="Arial" w:hAnsi="Arial" w:cs="Arial"/>
          <w:sz w:val="24"/>
          <w:szCs w:val="24"/>
        </w:rPr>
        <w:t xml:space="preserve">Diante do exposto, </w:t>
      </w:r>
      <w:r w:rsidR="00576AB5">
        <w:rPr>
          <w:rFonts w:ascii="Arial" w:hAnsi="Arial" w:cs="Arial"/>
          <w:sz w:val="24"/>
          <w:szCs w:val="24"/>
        </w:rPr>
        <w:t>opina-se pelo INDEFERIMENTO do Recurso interposto, cabendo a manutenção da decisão exarada pela Presidente da Casa.</w:t>
      </w:r>
    </w:p>
    <w:p w:rsidR="00EC0208" w:rsidRDefault="00EC0208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EC0208" w:rsidRDefault="00EC0208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EC0208" w:rsidRDefault="00EC0208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</w:t>
      </w:r>
      <w:r w:rsidR="005E07D0">
        <w:rPr>
          <w:rFonts w:ascii="Arial" w:eastAsia="Calibri" w:hAnsi="Arial" w:cs="Arial"/>
          <w:b/>
          <w:sz w:val="24"/>
          <w:szCs w:val="24"/>
        </w:rPr>
        <w:t>091</w:t>
      </w:r>
      <w:bookmarkStart w:id="0" w:name="_GoBack"/>
      <w:bookmarkEnd w:id="0"/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</w:t>
      </w:r>
      <w:r w:rsidR="00EC0208">
        <w:rPr>
          <w:rFonts w:ascii="Arial" w:eastAsia="Calibri" w:hAnsi="Arial" w:cs="Arial"/>
          <w:sz w:val="24"/>
          <w:szCs w:val="24"/>
        </w:rPr>
        <w:t>146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</w:t>
      </w:r>
      <w:r w:rsidR="00FA6A48">
        <w:rPr>
          <w:rFonts w:ascii="Arial" w:eastAsia="Calibri" w:hAnsi="Arial" w:cs="Arial"/>
          <w:sz w:val="24"/>
          <w:szCs w:val="24"/>
        </w:rPr>
        <w:t>2 votos favoráveis e um contrário,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FA6A48">
        <w:rPr>
          <w:rFonts w:ascii="Arial" w:eastAsia="Calibri" w:hAnsi="Arial" w:cs="Arial"/>
          <w:b/>
          <w:sz w:val="24"/>
          <w:szCs w:val="24"/>
        </w:rPr>
        <w:t>PELA IMPROCEDÊNCIA DO RECURSO</w:t>
      </w:r>
      <w:r w:rsidR="00EC0208">
        <w:rPr>
          <w:rFonts w:ascii="Arial" w:eastAsia="Calibri" w:hAnsi="Arial" w:cs="Arial"/>
          <w:sz w:val="24"/>
          <w:szCs w:val="24"/>
        </w:rPr>
        <w:t>, procedendo pela elaboração de Resolução neste sentido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FA6A48">
        <w:rPr>
          <w:rFonts w:ascii="Arial" w:eastAsia="Calibri" w:hAnsi="Arial" w:cs="Arial"/>
          <w:sz w:val="24"/>
          <w:szCs w:val="24"/>
          <w:highlight w:val="white"/>
        </w:rPr>
        <w:t>26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outubr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FA6A48" w:rsidRPr="00C862C4">
        <w:rPr>
          <w:rFonts w:ascii="Arial" w:eastAsia="Calibri" w:hAnsi="Arial" w:cs="Arial"/>
          <w:b/>
          <w:sz w:val="24"/>
          <w:szCs w:val="24"/>
          <w:highlight w:val="white"/>
        </w:rPr>
        <w:t>/ RELATOR</w:t>
      </w:r>
      <w:r w:rsidR="00FA6A48">
        <w:rPr>
          <w:rFonts w:ascii="Arial" w:eastAsia="Calibri" w:hAnsi="Arial" w:cs="Arial"/>
          <w:b/>
          <w:sz w:val="24"/>
          <w:szCs w:val="24"/>
          <w:highlight w:val="white"/>
        </w:rPr>
        <w:t>A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C862C4" w:rsidSect="00576AB5">
      <w:headerReference w:type="even" r:id="rId7"/>
      <w:headerReference w:type="default" r:id="rId8"/>
      <w:footerReference w:type="default" r:id="rId9"/>
      <w:pgSz w:w="11907" w:h="16840"/>
      <w:pgMar w:top="2268" w:right="1321" w:bottom="1702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02" w:rsidRDefault="00D11802" w:rsidP="00560F14">
      <w:r>
        <w:separator/>
      </w:r>
    </w:p>
  </w:endnote>
  <w:endnote w:type="continuationSeparator" w:id="0">
    <w:p w:rsidR="00D11802" w:rsidRDefault="00D11802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02" w:rsidRDefault="00D11802" w:rsidP="00560F14">
      <w:r>
        <w:separator/>
      </w:r>
    </w:p>
  </w:footnote>
  <w:footnote w:type="continuationSeparator" w:id="0">
    <w:p w:rsidR="00D11802" w:rsidRDefault="00D11802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4E1D3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14"/>
    <w:rsid w:val="0001102A"/>
    <w:rsid w:val="00026D4D"/>
    <w:rsid w:val="00043FF1"/>
    <w:rsid w:val="0004624F"/>
    <w:rsid w:val="00052C37"/>
    <w:rsid w:val="00053AC7"/>
    <w:rsid w:val="000A5D25"/>
    <w:rsid w:val="000B4385"/>
    <w:rsid w:val="000C50B6"/>
    <w:rsid w:val="000E015F"/>
    <w:rsid w:val="001451E3"/>
    <w:rsid w:val="00165A84"/>
    <w:rsid w:val="001874E8"/>
    <w:rsid w:val="00191F83"/>
    <w:rsid w:val="001A336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17483"/>
    <w:rsid w:val="00323692"/>
    <w:rsid w:val="0036448D"/>
    <w:rsid w:val="003654DA"/>
    <w:rsid w:val="003A54C9"/>
    <w:rsid w:val="003B0E61"/>
    <w:rsid w:val="003B4194"/>
    <w:rsid w:val="003C4EC7"/>
    <w:rsid w:val="003E7514"/>
    <w:rsid w:val="003F2DB5"/>
    <w:rsid w:val="00422C0C"/>
    <w:rsid w:val="00436740"/>
    <w:rsid w:val="004550EF"/>
    <w:rsid w:val="004764D3"/>
    <w:rsid w:val="00481F09"/>
    <w:rsid w:val="004E1D3D"/>
    <w:rsid w:val="00507A0B"/>
    <w:rsid w:val="0051356B"/>
    <w:rsid w:val="005176DD"/>
    <w:rsid w:val="00521D34"/>
    <w:rsid w:val="0053636A"/>
    <w:rsid w:val="00560F14"/>
    <w:rsid w:val="00576AB5"/>
    <w:rsid w:val="00576F6C"/>
    <w:rsid w:val="005A5315"/>
    <w:rsid w:val="005C0A59"/>
    <w:rsid w:val="005C19F1"/>
    <w:rsid w:val="005E07D0"/>
    <w:rsid w:val="0060460F"/>
    <w:rsid w:val="006160AA"/>
    <w:rsid w:val="006376E5"/>
    <w:rsid w:val="00672EB6"/>
    <w:rsid w:val="00676042"/>
    <w:rsid w:val="006A2C1E"/>
    <w:rsid w:val="006A780E"/>
    <w:rsid w:val="006B55B9"/>
    <w:rsid w:val="006D5BCE"/>
    <w:rsid w:val="006F291E"/>
    <w:rsid w:val="007103BA"/>
    <w:rsid w:val="00716D37"/>
    <w:rsid w:val="00723DD5"/>
    <w:rsid w:val="00735A87"/>
    <w:rsid w:val="00750D4B"/>
    <w:rsid w:val="00753E6A"/>
    <w:rsid w:val="0076617F"/>
    <w:rsid w:val="00766E99"/>
    <w:rsid w:val="00780669"/>
    <w:rsid w:val="00787BA3"/>
    <w:rsid w:val="00791BF6"/>
    <w:rsid w:val="007944ED"/>
    <w:rsid w:val="007A3015"/>
    <w:rsid w:val="007B07C3"/>
    <w:rsid w:val="007B490E"/>
    <w:rsid w:val="007E7DFE"/>
    <w:rsid w:val="00814941"/>
    <w:rsid w:val="00862605"/>
    <w:rsid w:val="008828DB"/>
    <w:rsid w:val="008B2CBE"/>
    <w:rsid w:val="008E2543"/>
    <w:rsid w:val="009204C2"/>
    <w:rsid w:val="00943AA9"/>
    <w:rsid w:val="00946AF7"/>
    <w:rsid w:val="00991F5C"/>
    <w:rsid w:val="00992097"/>
    <w:rsid w:val="009E06CB"/>
    <w:rsid w:val="009F4947"/>
    <w:rsid w:val="00A31E50"/>
    <w:rsid w:val="00A42BA5"/>
    <w:rsid w:val="00A51067"/>
    <w:rsid w:val="00A65A03"/>
    <w:rsid w:val="00A7504E"/>
    <w:rsid w:val="00A81241"/>
    <w:rsid w:val="00A902D5"/>
    <w:rsid w:val="00AA5560"/>
    <w:rsid w:val="00AC40B2"/>
    <w:rsid w:val="00AD7587"/>
    <w:rsid w:val="00AF0C69"/>
    <w:rsid w:val="00B031B6"/>
    <w:rsid w:val="00B043E8"/>
    <w:rsid w:val="00B203C0"/>
    <w:rsid w:val="00B267F5"/>
    <w:rsid w:val="00B31022"/>
    <w:rsid w:val="00B41EEA"/>
    <w:rsid w:val="00B42F9C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3424"/>
    <w:rsid w:val="00C9386C"/>
    <w:rsid w:val="00C94437"/>
    <w:rsid w:val="00C97720"/>
    <w:rsid w:val="00CA7CBB"/>
    <w:rsid w:val="00CC426E"/>
    <w:rsid w:val="00CC76A0"/>
    <w:rsid w:val="00CE43A9"/>
    <w:rsid w:val="00D00C0A"/>
    <w:rsid w:val="00D11802"/>
    <w:rsid w:val="00D21A6A"/>
    <w:rsid w:val="00D2793B"/>
    <w:rsid w:val="00D35616"/>
    <w:rsid w:val="00DB4774"/>
    <w:rsid w:val="00DD5841"/>
    <w:rsid w:val="00DE2BBD"/>
    <w:rsid w:val="00DE5ED2"/>
    <w:rsid w:val="00E154A7"/>
    <w:rsid w:val="00E9610B"/>
    <w:rsid w:val="00EB23CE"/>
    <w:rsid w:val="00EC0208"/>
    <w:rsid w:val="00EC3CF3"/>
    <w:rsid w:val="00EC7DF6"/>
    <w:rsid w:val="00EE2DDB"/>
    <w:rsid w:val="00F16CF0"/>
    <w:rsid w:val="00F628B2"/>
    <w:rsid w:val="00F76285"/>
    <w:rsid w:val="00FA6A48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  <w:style w:type="character" w:styleId="Hyperlink">
    <w:name w:val="Hyperlink"/>
    <w:basedOn w:val="Fontepargpadro"/>
    <w:uiPriority w:val="99"/>
    <w:semiHidden/>
    <w:unhideWhenUsed/>
    <w:rsid w:val="006A78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  <w:style w:type="character" w:styleId="Hyperlink">
    <w:name w:val="Hyperlink"/>
    <w:basedOn w:val="Fontepargpadro"/>
    <w:uiPriority w:val="99"/>
    <w:semiHidden/>
    <w:unhideWhenUsed/>
    <w:rsid w:val="006A7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Câmara Municipal de Mogi Mirim</cp:lastModifiedBy>
  <cp:revision>3</cp:revision>
  <cp:lastPrinted>2021-05-13T17:10:00Z</cp:lastPrinted>
  <dcterms:created xsi:type="dcterms:W3CDTF">2021-11-04T18:36:00Z</dcterms:created>
  <dcterms:modified xsi:type="dcterms:W3CDTF">2021-11-04T19:06:00Z</dcterms:modified>
</cp:coreProperties>
</file>