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4" w:rsidRPr="00A902D5" w:rsidRDefault="000C50B6" w:rsidP="0060324D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77074E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Substitutivo ao 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>
        <w:rPr>
          <w:rFonts w:ascii="Arial" w:eastAsia="Arial" w:hAnsi="Arial" w:cs="Arial"/>
          <w:b/>
          <w:sz w:val="24"/>
          <w:szCs w:val="24"/>
        </w:rPr>
        <w:t>08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6A6FE5" w:rsidRPr="00A902D5" w:rsidRDefault="006A6FE5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6A4AF9">
        <w:rPr>
          <w:rFonts w:ascii="Arial" w:eastAsia="Calibri" w:hAnsi="Arial" w:cs="Arial"/>
          <w:sz w:val="24"/>
          <w:szCs w:val="24"/>
        </w:rPr>
        <w:t>Sr. Luis Roberto Tavares</w:t>
      </w:r>
      <w:r w:rsidRPr="00A902D5">
        <w:rPr>
          <w:rFonts w:ascii="Arial" w:eastAsia="Calibri" w:hAnsi="Arial" w:cs="Arial"/>
          <w:sz w:val="24"/>
          <w:szCs w:val="24"/>
        </w:rPr>
        <w:t xml:space="preserve"> do qual “</w:t>
      </w:r>
      <w:r w:rsidR="0077074E" w:rsidRPr="0077074E">
        <w:rPr>
          <w:rFonts w:ascii="Arial" w:eastAsia="Calibri" w:hAnsi="Arial" w:cs="Arial"/>
          <w:b/>
          <w:sz w:val="24"/>
          <w:szCs w:val="24"/>
        </w:rPr>
        <w:t>ESTABELECE A ISENÇÃO NO PAGAMENTO DO ESTACIONAMENTO ROTATIVO “ZONA AZUL”, A IDOSOS E PESSOAS COM DEFICIÊNCIA NO MUNICÍPIO DE MOGI MIRIM E DA OUTRAS PROVIDÊNCIAS</w:t>
      </w:r>
      <w:r w:rsidR="0077074E" w:rsidRPr="0077074E">
        <w:rPr>
          <w:rFonts w:ascii="Arial" w:eastAsia="Calibri" w:hAnsi="Arial" w:cs="Arial"/>
          <w:b/>
          <w:sz w:val="22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CA4AFE" w:rsidRDefault="00CA4AFE" w:rsidP="0077074E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O Projeto </w:t>
      </w:r>
      <w:r w:rsidR="0077074E" w:rsidRPr="0077074E">
        <w:rPr>
          <w:rFonts w:ascii="Arial" w:eastAsia="Arial" w:hAnsi="Arial" w:cs="Arial"/>
          <w:sz w:val="24"/>
          <w:szCs w:val="24"/>
        </w:rPr>
        <w:t>estabele</w:t>
      </w:r>
      <w:r w:rsidR="0077074E">
        <w:rPr>
          <w:rFonts w:ascii="Arial" w:eastAsia="Arial" w:hAnsi="Arial" w:cs="Arial"/>
          <w:sz w:val="24"/>
          <w:szCs w:val="24"/>
        </w:rPr>
        <w:t>ce</w:t>
      </w:r>
      <w:r w:rsidR="0077074E" w:rsidRPr="0077074E">
        <w:rPr>
          <w:rFonts w:ascii="Arial" w:eastAsia="Arial" w:hAnsi="Arial" w:cs="Arial"/>
          <w:sz w:val="24"/>
          <w:szCs w:val="24"/>
        </w:rPr>
        <w:t xml:space="preserve"> a obrigatoriedade de nos contratos de concessão de serviços de estacionamento rotativo “Zona Azul” a isenção de pagamento aos Idosos e Pessoas com Deficiência nas vagas especiais já existentes dentro do município de Mogi Mirim.</w:t>
      </w:r>
    </w:p>
    <w:p w:rsidR="006A6FE5" w:rsidRPr="00A902D5" w:rsidRDefault="006A6FE5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453643" w:rsidRDefault="00C1594B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  <w:r w:rsidR="0077074E">
        <w:rPr>
          <w:rFonts w:ascii="Arial" w:eastAsia="Calibri" w:hAnsi="Arial" w:cs="Arial"/>
          <w:sz w:val="24"/>
          <w:szCs w:val="24"/>
        </w:rPr>
        <w:t>Inicialmente vale destacar que a</w:t>
      </w:r>
      <w:r w:rsidR="0077074E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 w:rsidR="0077074E">
        <w:rPr>
          <w:rFonts w:ascii="Arial" w:eastAsia="Calibri" w:hAnsi="Arial" w:cs="Arial"/>
          <w:sz w:val="24"/>
          <w:szCs w:val="24"/>
        </w:rPr>
        <w:t>CONTRÁRIO à matéria, emitindo o parecer na data de 2</w:t>
      </w:r>
      <w:r w:rsidR="0077074E">
        <w:rPr>
          <w:rFonts w:ascii="Arial" w:eastAsia="Calibri" w:hAnsi="Arial" w:cs="Arial"/>
          <w:sz w:val="24"/>
          <w:szCs w:val="24"/>
        </w:rPr>
        <w:t>9</w:t>
      </w:r>
      <w:r w:rsidR="0077074E">
        <w:rPr>
          <w:rFonts w:ascii="Arial" w:eastAsia="Calibri" w:hAnsi="Arial" w:cs="Arial"/>
          <w:sz w:val="24"/>
          <w:szCs w:val="24"/>
        </w:rPr>
        <w:t xml:space="preserve"> de </w:t>
      </w:r>
      <w:r w:rsidR="0077074E">
        <w:rPr>
          <w:rFonts w:ascii="Arial" w:eastAsia="Calibri" w:hAnsi="Arial" w:cs="Arial"/>
          <w:sz w:val="24"/>
          <w:szCs w:val="24"/>
        </w:rPr>
        <w:t>setembro</w:t>
      </w:r>
      <w:r w:rsidR="0077074E">
        <w:rPr>
          <w:rFonts w:ascii="Arial" w:eastAsia="Calibri" w:hAnsi="Arial" w:cs="Arial"/>
          <w:sz w:val="24"/>
          <w:szCs w:val="24"/>
        </w:rPr>
        <w:t xml:space="preserve"> de 2021, onde uma cópia do mesmo foi encaminhada a assessoria </w:t>
      </w:r>
      <w:r w:rsidR="0000513C">
        <w:rPr>
          <w:rFonts w:ascii="Arial" w:eastAsia="Calibri" w:hAnsi="Arial" w:cs="Arial"/>
          <w:sz w:val="24"/>
          <w:szCs w:val="24"/>
        </w:rPr>
        <w:t>do Vereador</w:t>
      </w:r>
      <w:r w:rsidR="0077074E">
        <w:rPr>
          <w:rFonts w:ascii="Arial" w:eastAsia="Calibri" w:hAnsi="Arial" w:cs="Arial"/>
          <w:sz w:val="24"/>
          <w:szCs w:val="24"/>
        </w:rPr>
        <w:t xml:space="preserve"> para verificar os apontamentos e ter tempo hábil para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="0077074E">
        <w:rPr>
          <w:rFonts w:ascii="Arial" w:eastAsia="Calibri" w:hAnsi="Arial" w:cs="Arial"/>
          <w:sz w:val="24"/>
          <w:szCs w:val="24"/>
        </w:rPr>
        <w:t>analisar as questões elencadas. Contudo, se manteve inerte até a presente data.</w:t>
      </w:r>
    </w:p>
    <w:p w:rsidR="00453643" w:rsidRDefault="00453643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A6FE5" w:rsidRDefault="00453643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Tendo em vista o encerramento do ano legislativo, há necessidade de agilização do respectivo parecer.</w:t>
      </w:r>
    </w:p>
    <w:p w:rsidR="0077074E" w:rsidRDefault="0077074E" w:rsidP="00C1594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Em que pese o posicionamento adotado pelo órgão consultivo, esta Comissão acompanha a manifestação exarada, posto que a propositura possui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vício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inconstitucionalidade, conforme será demonstrado a seguir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1594B" w:rsidRDefault="00C1594B" w:rsidP="000D7ECB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A regulamentação dos serviços de estacionamento rotativo diz respeito aos serviços públicos e, como tal, deve ser regrado por meio de leis de iniciativa do Chefe do Poder Executivo.</w:t>
      </w:r>
    </w:p>
    <w:p w:rsidR="0077074E" w:rsidRP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P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No que tange à definição de serviços públicos, Hely Lopes Meirelles ensina:</w:t>
      </w: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“Serviços públicos, propriamente ditos, são os que a Administração presta diretamente à comunidade, por reconhecer sua essencialidade, visto que sua utilização é uma necessidade coletiva e perene” (cf. in Direito Municipal Brasileiro, 19ª ed., Malheiros, São Paulo, 2021, p. 284).</w:t>
      </w:r>
    </w:p>
    <w:p w:rsidR="0077074E" w:rsidRP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Ainda em sua obra, o mesmo autor, após definir o que é serviço público, explica e enumera dezenas deles. Como exemplos, citaremos apenas alguns: arruamento, águas e esgotos sanitários, pavimentação e calçamento, iluminação pública, trânsito e tráfego, transportes coletivos, educação, saúde pública etc.</w:t>
      </w:r>
    </w:p>
    <w:p w:rsidR="0077074E" w:rsidRP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Entendemos que os serviços públicos são administrados exclusivamente pelo Prefeito Municipal e por ele devem ser disciplinados, em especial aquele relacionado ao estacionamento rotativo. </w:t>
      </w: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Nesse diapasão decidiu o Tribunal de Justiça de São Paulo, sobre a iniciativa de projeto de lei sobre a matéria: </w:t>
      </w: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0513C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“AÇÃO DIRETA DE INCONSTITUCIONALIDADE. ESTACIONAMENTO ROTATIVO E POLÍTICA TARIFÁRIA. LEI DE INICIATIVA PARLAMENTAR. Lei n. 13.698, de 23 de dezembro de 2020, do Município de São José do Rio Preto. VÍCIOS DE USURPAÇÃO DE MATÉRIA RESERVADA À ADMINISTRAÇÃO. Regulamentação do uso de bem público e definição de atribuições a agentes delegados que se insere dentre as matérias de iniciativa privativa do Chefe do </w:t>
      </w:r>
      <w:r w:rsidRPr="0077074E">
        <w:rPr>
          <w:rFonts w:ascii="Arial" w:eastAsia="Calibri" w:hAnsi="Arial" w:cs="Arial"/>
          <w:sz w:val="24"/>
          <w:szCs w:val="24"/>
        </w:rPr>
        <w:lastRenderedPageBreak/>
        <w:t>Executivo. Disciplina de política tarifária que cabe ao Chefe do Poder Executivo (artigo 159, parágrafo único, CE).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 xml:space="preserve">Interferência no equilíbrio econômico-financeiro do contrato administrativo, em ofensa ao artigo 117 da CE. Lei de iniciativa parlamentar que invadiu as atribuições do Chefe do Poder Executivo, ofendendo o princípio da separação dos poderes. Desrespeito aos artigos 5º, 47, incisos II e XIV, 117, 120, 144 e 159, parágrafo único, da Constituição Estadual. Inconstitucionalidade configurada. Ação julgada procedente” (cf. in ADIn. nº 2008175-17.2021.8.26.0000, Órgão Especial, Rel. Des. Moacir Peres, j. em 28/7/2021) (grifo nosso). </w:t>
      </w:r>
    </w:p>
    <w:p w:rsidR="0000513C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“AÇÃO DIRETA DE INCONSTITUCIONALIDADE – ESTACIONAMENTO ROTATIVO, FISCALIZAÇÃO E POLÍTICA TARIFÁRIA – LEI DE INICIATIVA PARLAMENTAR – Lei n. 3.631, de 22 de novembro de 2019, do Município de Andradina. VÍCIOS DE INICIATIVA E DE USURPAÇÃO DE MATÉRIA RESERVADA À ADMINISTRAÇÃO – Definição de atribuições a agentes públicos e delegados que se insere dentre as matérias de iniciativa privativa do Chefe do Executivo – Disciplina de política tarifária que cabe ao Chefe do Poder Executivo (artigo 159, parágrafo único, CE) – Interferência no equilíbrio econômico-financeiro do contrato administrativo, em ofensa ao artigo 117 da CE – Lei de iniciativa parlamentar que invadiu as atribuições do Chefe do Poder Executivo, ofendendo o princípio da separação dos poderes – Desrespeito aos artigos 5º, 24, § 2º, 2, 47, incisos II, XIV e XIX, a, 117, 120, 144 e 159, parágrafo único, da Constituição Estadual. Inconstitucionalidade configurada – Ação julgada procedente” (cf. in ADIn. nº 2282456-28.2019.8.26.0000, Órgão Especial, Rel. Min. Moacir Peres, j. em 24/6/2020).</w:t>
      </w:r>
    </w:p>
    <w:p w:rsidR="0000513C" w:rsidRPr="0077074E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0513C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0513C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Ainda nesse sentido, decidiu o Supremo Tribunal Federal: </w:t>
      </w:r>
    </w:p>
    <w:p w:rsidR="000925C7" w:rsidRDefault="000925C7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“AGRAVO REGIMENTAL NO RECURSO EXTRAORDINÁRIO. CONSTITUCIONAL. REPRESENTAÇÃO DE INCONSTITUCIONALIDADE. LEI MUNICIPAL PAULISTA N. 12.614/1998. ISENÇÃO PARCIAL. ‘ZONA AZUL’. ORGANIZAÇÃO ADMINISTRATIVA DO ESTADO. MATÉRIA DE INICIATIVA DO PODER EXECUTIVO. VÍCIO FORMAL. PRECEDENTES. AGRAVO REGIMENTAL </w:t>
      </w:r>
      <w:r w:rsidRPr="0077074E">
        <w:rPr>
          <w:rFonts w:ascii="Arial" w:eastAsia="Calibri" w:hAnsi="Arial" w:cs="Arial"/>
          <w:sz w:val="24"/>
          <w:szCs w:val="24"/>
        </w:rPr>
        <w:lastRenderedPageBreak/>
        <w:t xml:space="preserve">AO QUAL SE NEGA PROVIMENTO” (Agravo Regimental nº 508.827, 2ª Turma, Rel. Min. Cármen Lúcia, </w:t>
      </w:r>
      <w:proofErr w:type="gramStart"/>
      <w:r w:rsidRPr="0077074E">
        <w:rPr>
          <w:rFonts w:ascii="Arial" w:eastAsia="Calibri" w:hAnsi="Arial" w:cs="Arial"/>
          <w:sz w:val="24"/>
          <w:szCs w:val="24"/>
        </w:rPr>
        <w:t>DJe</w:t>
      </w:r>
      <w:proofErr w:type="gramEnd"/>
      <w:r w:rsidRPr="0077074E">
        <w:rPr>
          <w:rFonts w:ascii="Arial" w:eastAsia="Calibri" w:hAnsi="Arial" w:cs="Arial"/>
          <w:sz w:val="24"/>
          <w:szCs w:val="24"/>
        </w:rPr>
        <w:t xml:space="preserve"> de 18/10/2012).</w:t>
      </w:r>
    </w:p>
    <w:p w:rsidR="0000513C" w:rsidRPr="0077074E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Pertence ao Prefeito Municipal a legitimidade para apresentar os projetos de lei cuja matéria refere-se aos serviços públicos relacionados ao estacionamento rotativo, mormente em relação à respectiva política tarifária.</w:t>
      </w:r>
    </w:p>
    <w:p w:rsidR="0000513C" w:rsidRPr="0077074E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A4AF9" w:rsidRPr="0000513C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O desencadeamento do processo legislativo das normas municipais reguladoras do estacionamento rotativo </w:t>
      </w:r>
      <w:r w:rsidRPr="0000513C">
        <w:rPr>
          <w:rFonts w:ascii="Arial" w:eastAsia="Calibri" w:hAnsi="Arial" w:cs="Arial"/>
          <w:b/>
          <w:sz w:val="24"/>
          <w:szCs w:val="24"/>
        </w:rPr>
        <w:t>é de iniciativa privativa do Prefeito Municipal</w:t>
      </w:r>
      <w:r w:rsidRPr="0077074E">
        <w:rPr>
          <w:rFonts w:ascii="Arial" w:eastAsia="Calibri" w:hAnsi="Arial" w:cs="Arial"/>
          <w:sz w:val="24"/>
          <w:szCs w:val="24"/>
        </w:rPr>
        <w:t xml:space="preserve">, pelo fato de ser atividade típica do Poder Executivo, o que significa a </w:t>
      </w:r>
      <w:r w:rsidRPr="0000513C">
        <w:rPr>
          <w:rFonts w:ascii="Arial" w:eastAsia="Calibri" w:hAnsi="Arial" w:cs="Arial"/>
          <w:b/>
          <w:sz w:val="24"/>
          <w:szCs w:val="24"/>
        </w:rPr>
        <w:t>presença de vício formal na pretensão exposta</w:t>
      </w:r>
      <w:r w:rsidRPr="0077074E">
        <w:rPr>
          <w:rFonts w:ascii="Arial" w:eastAsia="Calibri" w:hAnsi="Arial" w:cs="Arial"/>
          <w:sz w:val="24"/>
          <w:szCs w:val="24"/>
        </w:rPr>
        <w:t xml:space="preserve">, ou seja, </w:t>
      </w:r>
      <w:r w:rsidRPr="0000513C">
        <w:rPr>
          <w:rFonts w:ascii="Arial" w:eastAsia="Calibri" w:hAnsi="Arial" w:cs="Arial"/>
          <w:b/>
          <w:sz w:val="24"/>
          <w:szCs w:val="24"/>
        </w:rPr>
        <w:t>há ofensa à Constituição Federal, especificamente em relação ao princípio fundamental da separação entre os Poderes (art. 2º, CF/1988).</w:t>
      </w:r>
    </w:p>
    <w:p w:rsidR="0000513C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Por fim, vale lembrar que a imposição de regulamentação por parte do Executivo, contida no art. 2º do projeto de lei sob apreciação, afronta o princípio da separação de poderes, conforme leciona Hely Lopes Meirelles:</w:t>
      </w:r>
    </w:p>
    <w:p w:rsidR="0000513C" w:rsidRPr="0077074E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“O poder regulamentar é atributo do chefe do Executivo e por isso mesmo não fica na dependência de autorização legislativa; deriva do nosso sistema constitucional, como faculdade inerente e indispensável à chefia do Executivo</w:t>
      </w:r>
      <w:r w:rsidR="0000513C">
        <w:rPr>
          <w:rFonts w:ascii="Arial" w:eastAsia="Calibri" w:hAnsi="Arial" w:cs="Arial"/>
          <w:sz w:val="24"/>
          <w:szCs w:val="24"/>
        </w:rPr>
        <w:t>”</w:t>
      </w:r>
      <w:r w:rsidRPr="0077074E">
        <w:rPr>
          <w:rFonts w:ascii="Arial" w:eastAsia="Calibri" w:hAnsi="Arial" w:cs="Arial"/>
          <w:sz w:val="24"/>
          <w:szCs w:val="24"/>
        </w:rPr>
        <w:t xml:space="preserve"> (CF, art. 84, II). Assim sendo, não é necessário que cada lei contenha dispositivo autorizador de sua regulamentação. Toda vez que o prefeito entender conveniente, poderá expedir, por decreto, regulamento de execução, desde que não invada as ‘reservas da lei’, nem contrarie suas disposições e o seu espírito.</w:t>
      </w:r>
    </w:p>
    <w:p w:rsidR="0000513C" w:rsidRPr="0077074E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 xml:space="preserve">[...] </w:t>
      </w:r>
      <w:r w:rsidR="0000513C">
        <w:rPr>
          <w:rFonts w:ascii="Arial" w:eastAsia="Calibri" w:hAnsi="Arial" w:cs="Arial"/>
          <w:sz w:val="24"/>
          <w:szCs w:val="24"/>
        </w:rPr>
        <w:t>“</w:t>
      </w:r>
      <w:r w:rsidRPr="0077074E">
        <w:rPr>
          <w:rFonts w:ascii="Arial" w:eastAsia="Calibri" w:hAnsi="Arial" w:cs="Arial"/>
          <w:sz w:val="24"/>
          <w:szCs w:val="24"/>
        </w:rPr>
        <w:t>Leis há que no próprio texto já condicionam a sua execução à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expedição do regulamento. Nesses casos, a faculdade regulamentar se converte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para o Executivo em dever de expedição de tal ato, para que a norma legislativa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possa ser cumprida. Em regra, entretanto, as leis são auto-executáveis, isto é, não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dependem de regulamentação para serem executadas, se bem que em qualquer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tempo possam ser regulamentadas, para facilidade de sua compreensão e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execução” (cf. in ob. cit., pp. 593 e 594).</w:t>
      </w:r>
    </w:p>
    <w:p w:rsidR="0000513C" w:rsidRPr="0077074E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7074E">
        <w:rPr>
          <w:rFonts w:ascii="Arial" w:eastAsia="Calibri" w:hAnsi="Arial" w:cs="Arial"/>
          <w:sz w:val="24"/>
          <w:szCs w:val="24"/>
        </w:rPr>
        <w:t>Especificamente em relação a este aspecto, o projeto de lei também</w:t>
      </w:r>
      <w:r w:rsidR="0000513C">
        <w:rPr>
          <w:rFonts w:ascii="Arial" w:eastAsia="Calibri" w:hAnsi="Arial" w:cs="Arial"/>
          <w:sz w:val="24"/>
          <w:szCs w:val="24"/>
        </w:rPr>
        <w:t xml:space="preserve"> </w:t>
      </w:r>
      <w:r w:rsidRPr="0077074E">
        <w:rPr>
          <w:rFonts w:ascii="Arial" w:eastAsia="Calibri" w:hAnsi="Arial" w:cs="Arial"/>
          <w:sz w:val="24"/>
          <w:szCs w:val="24"/>
        </w:rPr>
        <w:t>merece ser revisto, para não ofender o princípio da separação entre os Poderes.</w:t>
      </w:r>
    </w:p>
    <w:p w:rsidR="0000513C" w:rsidRDefault="0000513C" w:rsidP="0077074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7074E" w:rsidRDefault="0077074E" w:rsidP="0077074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 xml:space="preserve">Desta forma, </w:t>
      </w:r>
      <w:r>
        <w:rPr>
          <w:rFonts w:ascii="Arial" w:eastAsia="Calibri" w:hAnsi="Arial" w:cs="Arial"/>
          <w:sz w:val="24"/>
          <w:szCs w:val="24"/>
        </w:rPr>
        <w:t>conforme elencado os</w:t>
      </w:r>
      <w:r w:rsidRPr="00C4538A">
        <w:rPr>
          <w:rFonts w:ascii="Arial" w:eastAsia="Calibri" w:hAnsi="Arial" w:cs="Arial"/>
          <w:sz w:val="24"/>
          <w:szCs w:val="24"/>
        </w:rPr>
        <w:t xml:space="preserve"> óbices jurídicos</w:t>
      </w:r>
      <w:r>
        <w:rPr>
          <w:rFonts w:ascii="Arial" w:eastAsia="Calibri" w:hAnsi="Arial" w:cs="Arial"/>
          <w:sz w:val="24"/>
          <w:szCs w:val="24"/>
        </w:rPr>
        <w:t>, o presente projeto de lei</w:t>
      </w:r>
      <w:r w:rsidRPr="00C4538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não merece prosperar.</w:t>
      </w:r>
    </w:p>
    <w:p w:rsidR="004F11D2" w:rsidRDefault="007B02D1" w:rsidP="007B02D1">
      <w:pPr>
        <w:pStyle w:val="Normal10"/>
        <w:spacing w:line="276" w:lineRule="auto"/>
        <w:ind w:firstLine="840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0324D" w:rsidRDefault="0060324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EE61E9">
        <w:rPr>
          <w:rFonts w:ascii="Arial" w:eastAsia="Calibri" w:hAnsi="Arial" w:cs="Arial"/>
          <w:b/>
          <w:sz w:val="24"/>
          <w:szCs w:val="24"/>
          <w:highlight w:val="white"/>
        </w:rPr>
        <w:t>DOUTOR TIAGO CESAR COSTA</w:t>
      </w:r>
    </w:p>
    <w:p w:rsidR="004F21E5" w:rsidRDefault="006A6FE5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VICE-PRESIDENTE</w:t>
      </w:r>
      <w:r w:rsidR="00CA4AFE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00513C" w:rsidRDefault="0000513C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0925C7" w:rsidRDefault="000925C7">
      <w:pPr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br w:type="page"/>
      </w: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lastRenderedPageBreak/>
        <w:t>PARECER</w:t>
      </w:r>
      <w:r w:rsidR="004E2DC8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C1594B">
        <w:rPr>
          <w:rFonts w:ascii="Arial" w:eastAsia="Calibri" w:hAnsi="Arial" w:cs="Arial"/>
          <w:b/>
          <w:sz w:val="24"/>
          <w:szCs w:val="24"/>
        </w:rPr>
        <w:t xml:space="preserve"> </w:t>
      </w:r>
      <w:r w:rsidR="004F11D2">
        <w:rPr>
          <w:rFonts w:ascii="Arial" w:eastAsia="Calibri" w:hAnsi="Arial" w:cs="Arial"/>
          <w:b/>
          <w:sz w:val="24"/>
          <w:szCs w:val="24"/>
        </w:rPr>
        <w:t>9</w:t>
      </w:r>
      <w:r w:rsidR="0077074E">
        <w:rPr>
          <w:rFonts w:ascii="Arial" w:eastAsia="Calibri" w:hAnsi="Arial" w:cs="Arial"/>
          <w:b/>
          <w:sz w:val="24"/>
          <w:szCs w:val="24"/>
        </w:rPr>
        <w:t>3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77074E">
        <w:rPr>
          <w:rFonts w:ascii="Arial" w:eastAsia="Calibri" w:hAnsi="Arial" w:cs="Arial"/>
          <w:b/>
          <w:sz w:val="24"/>
          <w:szCs w:val="24"/>
        </w:rPr>
        <w:t>DES</w:t>
      </w:r>
      <w:r w:rsidR="00C1594B">
        <w:rPr>
          <w:rFonts w:ascii="Arial" w:eastAsia="Calibri" w:hAnsi="Arial" w:cs="Arial"/>
          <w:b/>
          <w:sz w:val="24"/>
          <w:szCs w:val="24"/>
        </w:rPr>
        <w:t>FAVORÁVEL</w:t>
      </w:r>
      <w:r w:rsidR="00820ABA">
        <w:rPr>
          <w:rFonts w:ascii="Arial" w:eastAsia="Calibri" w:hAnsi="Arial" w:cs="Arial"/>
          <w:b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F282D" w:rsidRDefault="00EF282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</w:t>
      </w:r>
      <w:r w:rsidR="00715A8B">
        <w:rPr>
          <w:rFonts w:ascii="Arial" w:eastAsia="Calibri" w:hAnsi="Arial" w:cs="Arial"/>
          <w:sz w:val="24"/>
          <w:szCs w:val="24"/>
          <w:highlight w:val="white"/>
        </w:rPr>
        <w:t>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F282D" w:rsidRDefault="00EF282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DOUTOR 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 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A902D5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820ABA" w:rsidRPr="00C862C4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</w:t>
      </w:r>
    </w:p>
    <w:sectPr w:rsidR="00560F14" w:rsidRPr="00C862C4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41" w:rsidRDefault="00170441" w:rsidP="00560F14">
      <w:r>
        <w:separator/>
      </w:r>
    </w:p>
  </w:endnote>
  <w:endnote w:type="continuationSeparator" w:id="0">
    <w:p w:rsidR="00170441" w:rsidRDefault="00170441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41" w:rsidRDefault="00170441" w:rsidP="00560F14">
      <w:r>
        <w:separator/>
      </w:r>
    </w:p>
  </w:footnote>
  <w:footnote w:type="continuationSeparator" w:id="0">
    <w:p w:rsidR="00170441" w:rsidRDefault="00170441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AE632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036800" cy="752400"/>
          <wp:effectExtent l="0" t="0" r="0" b="0"/>
          <wp:wrapNone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00" cy="7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94B">
      <w:rPr>
        <w:rFonts w:ascii="Arial" w:eastAsia="Arial" w:hAnsi="Arial" w:cs="Arial"/>
        <w:b/>
        <w:color w:val="000000"/>
        <w:sz w:val="34"/>
        <w:szCs w:val="34"/>
      </w:rPr>
      <w:t xml:space="preserve">           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C159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</w:t>
    </w:r>
    <w:r w:rsidR="0036448D"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4"/>
    <w:rsid w:val="0000513C"/>
    <w:rsid w:val="00043FF1"/>
    <w:rsid w:val="0004624F"/>
    <w:rsid w:val="00047375"/>
    <w:rsid w:val="00052C37"/>
    <w:rsid w:val="00053AC7"/>
    <w:rsid w:val="000925C7"/>
    <w:rsid w:val="000A3A82"/>
    <w:rsid w:val="000A5D25"/>
    <w:rsid w:val="000B4385"/>
    <w:rsid w:val="000C50B6"/>
    <w:rsid w:val="000D7ECB"/>
    <w:rsid w:val="000E015F"/>
    <w:rsid w:val="000E1724"/>
    <w:rsid w:val="00170441"/>
    <w:rsid w:val="0018170C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3061B"/>
    <w:rsid w:val="00453643"/>
    <w:rsid w:val="004550EF"/>
    <w:rsid w:val="004764D3"/>
    <w:rsid w:val="00481F09"/>
    <w:rsid w:val="004A2557"/>
    <w:rsid w:val="004E2DC8"/>
    <w:rsid w:val="004F11D2"/>
    <w:rsid w:val="004F21E5"/>
    <w:rsid w:val="00507A0B"/>
    <w:rsid w:val="0051356B"/>
    <w:rsid w:val="005176DD"/>
    <w:rsid w:val="00521D34"/>
    <w:rsid w:val="0053636A"/>
    <w:rsid w:val="0055723D"/>
    <w:rsid w:val="00560F14"/>
    <w:rsid w:val="005A5315"/>
    <w:rsid w:val="005C0A59"/>
    <w:rsid w:val="005C19F1"/>
    <w:rsid w:val="0060324D"/>
    <w:rsid w:val="0060460F"/>
    <w:rsid w:val="006160AA"/>
    <w:rsid w:val="00672EB6"/>
    <w:rsid w:val="00676042"/>
    <w:rsid w:val="006A4AF9"/>
    <w:rsid w:val="006A6FE5"/>
    <w:rsid w:val="006B55B9"/>
    <w:rsid w:val="00715A8B"/>
    <w:rsid w:val="00716D37"/>
    <w:rsid w:val="00723DD5"/>
    <w:rsid w:val="00735A87"/>
    <w:rsid w:val="00750D4B"/>
    <w:rsid w:val="00753E6A"/>
    <w:rsid w:val="0076617F"/>
    <w:rsid w:val="0077074E"/>
    <w:rsid w:val="00780669"/>
    <w:rsid w:val="00787BA3"/>
    <w:rsid w:val="00791BF6"/>
    <w:rsid w:val="007944ED"/>
    <w:rsid w:val="007A3015"/>
    <w:rsid w:val="007B02D1"/>
    <w:rsid w:val="007B07C3"/>
    <w:rsid w:val="007B490E"/>
    <w:rsid w:val="007E26FE"/>
    <w:rsid w:val="007E7DFE"/>
    <w:rsid w:val="00820ABA"/>
    <w:rsid w:val="00862605"/>
    <w:rsid w:val="008828DB"/>
    <w:rsid w:val="008E2543"/>
    <w:rsid w:val="00906445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BA5"/>
    <w:rsid w:val="00A51067"/>
    <w:rsid w:val="00A65A03"/>
    <w:rsid w:val="00A7504E"/>
    <w:rsid w:val="00A841DC"/>
    <w:rsid w:val="00A902D5"/>
    <w:rsid w:val="00AD7587"/>
    <w:rsid w:val="00AE6320"/>
    <w:rsid w:val="00B031B6"/>
    <w:rsid w:val="00B043E8"/>
    <w:rsid w:val="00B04E44"/>
    <w:rsid w:val="00B203C0"/>
    <w:rsid w:val="00B267F5"/>
    <w:rsid w:val="00B31022"/>
    <w:rsid w:val="00B41EEA"/>
    <w:rsid w:val="00B61AD5"/>
    <w:rsid w:val="00BB0C6A"/>
    <w:rsid w:val="00BB1477"/>
    <w:rsid w:val="00BE2E9A"/>
    <w:rsid w:val="00C1594B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1354F"/>
    <w:rsid w:val="00D21A6A"/>
    <w:rsid w:val="00D22BDD"/>
    <w:rsid w:val="00D2793B"/>
    <w:rsid w:val="00D35616"/>
    <w:rsid w:val="00D5246D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EE61E9"/>
    <w:rsid w:val="00EF282D"/>
    <w:rsid w:val="00F50C34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1247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Michel Rodrigues</cp:lastModifiedBy>
  <cp:revision>3</cp:revision>
  <cp:lastPrinted>2021-11-04T19:10:00Z</cp:lastPrinted>
  <dcterms:created xsi:type="dcterms:W3CDTF">2021-11-04T19:31:00Z</dcterms:created>
  <dcterms:modified xsi:type="dcterms:W3CDTF">2021-11-04T19:34:00Z</dcterms:modified>
</cp:coreProperties>
</file>