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190433" w:rsidRDefault="00043FF1" w:rsidP="00A902D5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</w:p>
    <w:p w:rsidR="00560F14" w:rsidRPr="00190433" w:rsidRDefault="000C50B6" w:rsidP="00A902D5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  <w:r w:rsidRPr="00190433">
        <w:rPr>
          <w:rFonts w:ascii="Gadugi" w:eastAsia="Arial" w:hAnsi="Gadugi" w:cs="Arial"/>
          <w:b/>
          <w:sz w:val="24"/>
          <w:szCs w:val="24"/>
        </w:rPr>
        <w:t>RELATÓRIO</w:t>
      </w:r>
    </w:p>
    <w:p w:rsidR="0053636A" w:rsidRPr="00190433" w:rsidRDefault="0053636A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 w:rsidR="00560F14" w:rsidRPr="00190433" w:rsidRDefault="0036448D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  <w:u w:val="single"/>
        </w:rPr>
      </w:pPr>
      <w:r w:rsidRPr="00190433">
        <w:rPr>
          <w:rFonts w:ascii="Gadugi" w:eastAsia="Arial" w:hAnsi="Gadugi" w:cs="Arial"/>
          <w:b/>
          <w:sz w:val="24"/>
          <w:szCs w:val="24"/>
          <w:u w:val="single"/>
        </w:rPr>
        <w:t xml:space="preserve">Projeto de Lei n.º </w:t>
      </w:r>
      <w:r w:rsidR="000C50B6" w:rsidRPr="00190433">
        <w:rPr>
          <w:rFonts w:ascii="Gadugi" w:eastAsia="Arial" w:hAnsi="Gadugi" w:cs="Arial"/>
          <w:b/>
          <w:sz w:val="24"/>
          <w:szCs w:val="24"/>
          <w:u w:val="single"/>
        </w:rPr>
        <w:t>136</w:t>
      </w:r>
      <w:r w:rsidR="00507A0B" w:rsidRPr="00190433">
        <w:rPr>
          <w:rFonts w:ascii="Gadugi" w:eastAsia="Arial" w:hAnsi="Gadugi" w:cs="Arial"/>
          <w:b/>
          <w:sz w:val="24"/>
          <w:szCs w:val="24"/>
          <w:u w:val="single"/>
        </w:rPr>
        <w:t xml:space="preserve"> de 2021</w:t>
      </w:r>
    </w:p>
    <w:p w:rsidR="00190433" w:rsidRPr="00190433" w:rsidRDefault="00190433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  <w:r w:rsidRPr="00190433">
        <w:rPr>
          <w:rFonts w:ascii="Gadugi" w:eastAsia="Arial" w:hAnsi="Gadugi" w:cs="Arial"/>
          <w:b/>
          <w:sz w:val="24"/>
          <w:szCs w:val="24"/>
        </w:rPr>
        <w:t>Autor: Vereador TIAGO CESAR COSTA</w:t>
      </w:r>
    </w:p>
    <w:p w:rsidR="00190433" w:rsidRPr="00190433" w:rsidRDefault="00190433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  <w:r w:rsidRPr="00190433">
        <w:rPr>
          <w:rFonts w:ascii="Gadugi" w:eastAsia="Arial" w:hAnsi="Gadugi" w:cs="Arial"/>
          <w:b/>
          <w:sz w:val="24"/>
          <w:szCs w:val="24"/>
        </w:rPr>
        <w:t>Relator: Vereadora Luzia Cristina Cortes Nogueira</w:t>
      </w:r>
    </w:p>
    <w:p w:rsidR="00560F14" w:rsidRPr="00190433" w:rsidRDefault="00560F14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 w:rsidR="00560F14" w:rsidRPr="00190433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ab/>
      </w:r>
      <w:r w:rsidR="00672EB6" w:rsidRPr="00190433">
        <w:rPr>
          <w:rFonts w:ascii="Gadugi" w:eastAsia="Calibri" w:hAnsi="Gadugi" w:cs="Arial"/>
          <w:sz w:val="24"/>
          <w:szCs w:val="24"/>
        </w:rPr>
        <w:t xml:space="preserve"> </w:t>
      </w:r>
      <w:r w:rsidR="00672EB6" w:rsidRPr="00190433">
        <w:rPr>
          <w:rFonts w:ascii="Gadugi" w:eastAsia="Calibri" w:hAnsi="Gadugi" w:cs="Arial"/>
          <w:sz w:val="24"/>
          <w:szCs w:val="24"/>
        </w:rPr>
        <w:tab/>
      </w:r>
    </w:p>
    <w:p w:rsidR="00560F14" w:rsidRPr="00190433" w:rsidRDefault="00560F14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 w:rsidR="00560F14" w:rsidRPr="00190433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 w:rsidRPr="00190433"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 w:rsidR="00560F14" w:rsidRPr="00190433" w:rsidRDefault="00560F14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:rsidR="00560F14" w:rsidRPr="00190433" w:rsidRDefault="00672EB6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 xml:space="preserve"> </w:t>
      </w:r>
      <w:r w:rsidRPr="00190433">
        <w:rPr>
          <w:rFonts w:ascii="Gadugi" w:eastAsia="Calibri" w:hAnsi="Gadugi" w:cs="Arial"/>
          <w:sz w:val="24"/>
          <w:szCs w:val="24"/>
        </w:rPr>
        <w:tab/>
      </w:r>
      <w:r w:rsidR="003A54C9" w:rsidRPr="00190433">
        <w:rPr>
          <w:rFonts w:ascii="Gadugi" w:eastAsia="Calibri" w:hAnsi="Gadugi" w:cs="Arial"/>
          <w:sz w:val="24"/>
          <w:szCs w:val="24"/>
        </w:rPr>
        <w:t>Trata-se de Projeto de Lei</w:t>
      </w:r>
      <w:r w:rsidR="00312D33" w:rsidRPr="00190433">
        <w:rPr>
          <w:rFonts w:ascii="Gadugi" w:eastAsia="Calibri" w:hAnsi="Gadugi" w:cs="Arial"/>
          <w:sz w:val="24"/>
          <w:szCs w:val="24"/>
        </w:rPr>
        <w:t xml:space="preserve"> apresentado pel</w:t>
      </w:r>
      <w:r w:rsidR="00190433" w:rsidRPr="00190433">
        <w:rPr>
          <w:rFonts w:ascii="Gadugi" w:eastAsia="Calibri" w:hAnsi="Gadugi" w:cs="Arial"/>
          <w:sz w:val="24"/>
          <w:szCs w:val="24"/>
        </w:rPr>
        <w:t>o Exmo. S</w:t>
      </w:r>
      <w:r w:rsidR="003B0E61" w:rsidRPr="00190433">
        <w:rPr>
          <w:rFonts w:ascii="Gadugi" w:eastAsia="Calibri" w:hAnsi="Gadugi" w:cs="Arial"/>
          <w:sz w:val="24"/>
          <w:szCs w:val="24"/>
        </w:rPr>
        <w:t xml:space="preserve">r. Vereador </w:t>
      </w:r>
      <w:r w:rsidR="00190433" w:rsidRPr="00190433">
        <w:rPr>
          <w:rFonts w:ascii="Gadugi" w:eastAsia="Calibri" w:hAnsi="Gadugi" w:cs="Arial"/>
          <w:sz w:val="24"/>
          <w:szCs w:val="24"/>
        </w:rPr>
        <w:t>Dr. Tiago Cesar Costa</w:t>
      </w:r>
      <w:r w:rsidR="00312D33" w:rsidRPr="00190433">
        <w:rPr>
          <w:rFonts w:ascii="Gadugi" w:eastAsia="Calibri" w:hAnsi="Gadugi" w:cs="Arial"/>
          <w:sz w:val="24"/>
          <w:szCs w:val="24"/>
        </w:rPr>
        <w:t xml:space="preserve">, </w:t>
      </w:r>
      <w:r w:rsidR="00190433" w:rsidRPr="00190433">
        <w:rPr>
          <w:rFonts w:ascii="Gadugi" w:eastAsia="Calibri" w:hAnsi="Gadugi" w:cs="Arial"/>
          <w:sz w:val="24"/>
          <w:szCs w:val="24"/>
        </w:rPr>
        <w:t xml:space="preserve">que na proposta oferecida para análise </w:t>
      </w:r>
      <w:r w:rsidR="0036448D" w:rsidRPr="00190433">
        <w:rPr>
          <w:rFonts w:ascii="Gadugi" w:eastAsia="Calibri" w:hAnsi="Gadugi" w:cs="Arial"/>
          <w:sz w:val="24"/>
          <w:szCs w:val="24"/>
        </w:rPr>
        <w:t>“</w:t>
      </w:r>
      <w:r w:rsidR="00190433" w:rsidRPr="00190433">
        <w:rPr>
          <w:rFonts w:ascii="Gadugi" w:eastAsia="Calibri" w:hAnsi="Gadugi" w:cs="Arial"/>
          <w:b/>
          <w:sz w:val="24"/>
          <w:szCs w:val="24"/>
        </w:rPr>
        <w:t>ESTABELECE O RECONHECIMENTO DO PODER LEGISLATIVO COMO ATIVIDADE ESSENCIAL PARA A POPULAÇÃO DO MUNICÍPIO DE MOGI MIRIM EM SITUAÇÕES DE CRISE ORIUNDAS DE EPIDEMIAS, PANDEMIAS, MOLÉSTIAS CONTAGIOSAS OU CATÁSTROFES NATURAIS</w:t>
      </w:r>
      <w:r w:rsidR="0036448D" w:rsidRPr="00190433">
        <w:rPr>
          <w:rFonts w:ascii="Gadugi" w:eastAsia="Calibri" w:hAnsi="Gadugi" w:cs="Arial"/>
          <w:sz w:val="24"/>
          <w:szCs w:val="24"/>
        </w:rPr>
        <w:t>”.</w:t>
      </w:r>
    </w:p>
    <w:p w:rsidR="00560F14" w:rsidRPr="00190433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ab/>
      </w:r>
    </w:p>
    <w:p w:rsidR="00560F14" w:rsidRPr="00190433" w:rsidRDefault="00672EB6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 xml:space="preserve"> </w:t>
      </w:r>
      <w:r w:rsidRPr="00190433">
        <w:rPr>
          <w:rFonts w:ascii="Gadugi" w:eastAsia="Calibri" w:hAnsi="Gadugi" w:cs="Arial"/>
          <w:sz w:val="24"/>
          <w:szCs w:val="24"/>
        </w:rPr>
        <w:tab/>
      </w:r>
      <w:r w:rsidR="00190433" w:rsidRPr="00190433">
        <w:rPr>
          <w:rFonts w:ascii="Gadugi" w:eastAsia="Calibri" w:hAnsi="Gadugi" w:cs="Arial"/>
          <w:sz w:val="24"/>
          <w:szCs w:val="24"/>
        </w:rPr>
        <w:t xml:space="preserve">A proposta busca estabelecer a continuidade dos trabalhos do Poder Legislativo do Município de Mogi Mirim em caso de </w:t>
      </w:r>
      <w:r w:rsidR="00190433" w:rsidRPr="00190433">
        <w:rPr>
          <w:rFonts w:ascii="Gadugi" w:hAnsi="Gadugi" w:cstheme="minorHAnsi"/>
          <w:sz w:val="24"/>
          <w:szCs w:val="24"/>
        </w:rPr>
        <w:t>situações de crises oriundas de epidemias, pandemias, moléstias contagiosas, ou, catástrofes naturais, sendo vedado o fechamento de sua sede e cerceamento de suas atividades</w:t>
      </w:r>
      <w:r w:rsidR="00190433">
        <w:rPr>
          <w:rFonts w:ascii="Gadugi" w:hAnsi="Gadugi" w:cstheme="minorHAnsi"/>
          <w:sz w:val="24"/>
          <w:szCs w:val="24"/>
        </w:rPr>
        <w:t>, contudo, mantendo as recomendações dos órgãos de saúde competentes, bem como as medidas sanitárias necessárias à segurança, proteção à saúde e a vida.</w:t>
      </w:r>
    </w:p>
    <w:p w:rsidR="0053636A" w:rsidRPr="00190433" w:rsidRDefault="0053636A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B41EEA" w:rsidRPr="00190433" w:rsidRDefault="00B41EEA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560F14" w:rsidRPr="00190433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b/>
          <w:sz w:val="24"/>
          <w:szCs w:val="24"/>
        </w:rPr>
        <w:t>II. Do mérito e conclusões do relator</w:t>
      </w:r>
      <w:r w:rsidRPr="00190433">
        <w:rPr>
          <w:rFonts w:ascii="Gadugi" w:eastAsia="Calibri" w:hAnsi="Gadugi" w:cs="Arial"/>
          <w:sz w:val="24"/>
          <w:szCs w:val="24"/>
        </w:rPr>
        <w:t xml:space="preserve"> </w:t>
      </w:r>
    </w:p>
    <w:p w:rsidR="00560F14" w:rsidRPr="00190433" w:rsidRDefault="00560F14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:rsidR="006160AA" w:rsidRDefault="00F8278B" w:rsidP="006160AA">
      <w:pPr>
        <w:pStyle w:val="Normal10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Inicialmente cumpre destacar</w:t>
      </w:r>
      <w:r w:rsidR="006160AA" w:rsidRPr="00190433">
        <w:rPr>
          <w:rFonts w:ascii="Gadugi" w:eastAsia="Calibri" w:hAnsi="Gadugi" w:cs="Arial"/>
          <w:sz w:val="24"/>
          <w:szCs w:val="24"/>
        </w:rPr>
        <w:t xml:space="preserve"> que a Comissão de Justiça e Redação requereu parecer da SGP - Soluções em Gestão Pública para avalia</w:t>
      </w:r>
      <w:r>
        <w:rPr>
          <w:rFonts w:ascii="Gadugi" w:eastAsia="Calibri" w:hAnsi="Gadugi" w:cs="Arial"/>
          <w:sz w:val="24"/>
          <w:szCs w:val="24"/>
        </w:rPr>
        <w:t xml:space="preserve">ção do presente Projeto de Lei, através da CONSULTA/0564/2021/MN/G, de 10 de </w:t>
      </w:r>
      <w:proofErr w:type="gramStart"/>
      <w:r>
        <w:rPr>
          <w:rFonts w:ascii="Gadugi" w:eastAsia="Calibri" w:hAnsi="Gadugi" w:cs="Arial"/>
          <w:sz w:val="24"/>
          <w:szCs w:val="24"/>
        </w:rPr>
        <w:t>Novembro</w:t>
      </w:r>
      <w:proofErr w:type="gramEnd"/>
      <w:r>
        <w:rPr>
          <w:rFonts w:ascii="Gadugi" w:eastAsia="Calibri" w:hAnsi="Gadugi" w:cs="Arial"/>
          <w:sz w:val="24"/>
          <w:szCs w:val="24"/>
        </w:rPr>
        <w:t xml:space="preserve"> de 2021, com manifestação em seu parecer</w:t>
      </w:r>
      <w:r w:rsidR="006160AA" w:rsidRPr="00190433">
        <w:rPr>
          <w:rFonts w:ascii="Gadugi" w:eastAsia="Calibri" w:hAnsi="Gadugi" w:cs="Arial"/>
          <w:sz w:val="24"/>
          <w:szCs w:val="24"/>
        </w:rPr>
        <w:t xml:space="preserve"> pela constitucionalidade da matéria.</w:t>
      </w:r>
    </w:p>
    <w:p w:rsidR="00603151" w:rsidRDefault="00603151" w:rsidP="006160AA">
      <w:pPr>
        <w:pStyle w:val="Normal10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:rsidR="00F8278B" w:rsidRDefault="00603151" w:rsidP="006160AA">
      <w:pPr>
        <w:pStyle w:val="Normal10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Durante o</w:t>
      </w:r>
      <w:r w:rsidR="00F8278B">
        <w:rPr>
          <w:rFonts w:ascii="Gadugi" w:eastAsia="Calibri" w:hAnsi="Gadugi" w:cs="Arial"/>
          <w:sz w:val="24"/>
          <w:szCs w:val="24"/>
        </w:rPr>
        <w:t xml:space="preserve"> período mais restritivo da pandemia, o Supremo Tribunal </w:t>
      </w:r>
      <w:proofErr w:type="gramStart"/>
      <w:r w:rsidR="00F8278B">
        <w:rPr>
          <w:rFonts w:ascii="Gadugi" w:eastAsia="Calibri" w:hAnsi="Gadugi" w:cs="Arial"/>
          <w:sz w:val="24"/>
          <w:szCs w:val="24"/>
        </w:rPr>
        <w:t>Federal ,</w:t>
      </w:r>
      <w:proofErr w:type="gramEnd"/>
      <w:r w:rsidR="00F8278B">
        <w:rPr>
          <w:rFonts w:ascii="Gadugi" w:eastAsia="Calibri" w:hAnsi="Gadugi" w:cs="Arial"/>
          <w:sz w:val="24"/>
          <w:szCs w:val="24"/>
        </w:rPr>
        <w:t xml:space="preserve"> na </w:t>
      </w:r>
      <w:proofErr w:type="spellStart"/>
      <w:r w:rsidR="00F8278B">
        <w:rPr>
          <w:rFonts w:ascii="Gadugi" w:eastAsia="Calibri" w:hAnsi="Gadugi" w:cs="Arial"/>
          <w:sz w:val="24"/>
          <w:szCs w:val="24"/>
        </w:rPr>
        <w:t>ADIn</w:t>
      </w:r>
      <w:proofErr w:type="spellEnd"/>
      <w:r w:rsidR="00F8278B">
        <w:rPr>
          <w:rFonts w:ascii="Gadugi" w:eastAsia="Calibri" w:hAnsi="Gadugi" w:cs="Arial"/>
          <w:sz w:val="24"/>
          <w:szCs w:val="24"/>
        </w:rPr>
        <w:t xml:space="preserve">. </w:t>
      </w:r>
      <w:proofErr w:type="spellStart"/>
      <w:r w:rsidR="00F8278B">
        <w:rPr>
          <w:rFonts w:ascii="Gadugi" w:eastAsia="Calibri" w:hAnsi="Gadugi" w:cs="Arial"/>
          <w:sz w:val="24"/>
          <w:szCs w:val="24"/>
        </w:rPr>
        <w:t>Nr</w:t>
      </w:r>
      <w:proofErr w:type="spellEnd"/>
      <w:r w:rsidR="00F8278B">
        <w:rPr>
          <w:rFonts w:ascii="Gadugi" w:eastAsia="Calibri" w:hAnsi="Gadugi" w:cs="Arial"/>
          <w:sz w:val="24"/>
          <w:szCs w:val="24"/>
        </w:rPr>
        <w:t>. 6.341/DF reafirma o exercício da competência normativa e Administrativa a Estados e Municípios, na implementação de medidas restritivas de combate à atual pandemia,</w:t>
      </w:r>
      <w:r w:rsidR="003E203F">
        <w:rPr>
          <w:rFonts w:ascii="Gadugi" w:eastAsia="Calibri" w:hAnsi="Gadugi" w:cs="Arial"/>
          <w:sz w:val="24"/>
          <w:szCs w:val="24"/>
        </w:rPr>
        <w:t xml:space="preserve"> e ainda de acordo com as Constituições da República e dos Estados Federativos, as funções legislativas e fiscalizatórias das Câmaras de Vereadores hão de ser tidas como atividades essenciais, assim entendidas aquelas voltadas ao atendimento das necessidades básicas das comunidades locais, não restando dúvida que a edilidade deve contribuir de forma notória os esforços da coletividade no enfrentamento dos problemas advindos com as dificuldades da população.</w:t>
      </w:r>
    </w:p>
    <w:p w:rsidR="00603151" w:rsidRDefault="00603151" w:rsidP="006160AA">
      <w:pPr>
        <w:pStyle w:val="Normal10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:rsidR="003E203F" w:rsidRDefault="003E203F" w:rsidP="006160AA">
      <w:pPr>
        <w:pStyle w:val="Normal10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Dessa forma a edilidade detêm capacidade e obrigação de autogestão administrativa e orçamentária, bem como toda competência exclusiva para legislar em observância aos preceitos do Artigo 23 e seus incisos da LOM), reservados e observados os demais inseridos no Artigo 32 da Lei Orgânica Municipal.</w:t>
      </w:r>
    </w:p>
    <w:p w:rsidR="00603151" w:rsidRDefault="00603151" w:rsidP="006160AA">
      <w:pPr>
        <w:pStyle w:val="Normal10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:rsidR="003E203F" w:rsidRDefault="003E203F" w:rsidP="006160AA">
      <w:pPr>
        <w:pStyle w:val="Normal10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Restando confirmada a natureza essencial da Câmara Municipal em fiscalizar e legislar em situações inseridas na matéria apresentada para estudo, reserva-se exclusiva competência à Mesa Diretora da Câmara Municipal em deflagrar processo legislativo (conf. Inc. II do Art. 52 da LOM c/</w:t>
      </w:r>
      <w:proofErr w:type="gramStart"/>
      <w:r>
        <w:rPr>
          <w:rFonts w:ascii="Gadugi" w:eastAsia="Calibri" w:hAnsi="Gadugi" w:cs="Arial"/>
          <w:sz w:val="24"/>
          <w:szCs w:val="24"/>
        </w:rPr>
        <w:t>c</w:t>
      </w:r>
      <w:proofErr w:type="gramEnd"/>
      <w:r>
        <w:rPr>
          <w:rFonts w:ascii="Gadugi" w:eastAsia="Calibri" w:hAnsi="Gadugi" w:cs="Arial"/>
          <w:sz w:val="24"/>
          <w:szCs w:val="24"/>
        </w:rPr>
        <w:t xml:space="preserve"> inc. 11 do Art. 141 da Resolução 276/2021 – Regimento Interno </w:t>
      </w:r>
      <w:r w:rsidR="00603151">
        <w:rPr>
          <w:rFonts w:ascii="Gadugi" w:eastAsia="Calibri" w:hAnsi="Gadugi" w:cs="Arial"/>
          <w:sz w:val="24"/>
          <w:szCs w:val="24"/>
        </w:rPr>
        <w:t>.</w:t>
      </w:r>
    </w:p>
    <w:p w:rsidR="006160AA" w:rsidRPr="00190433" w:rsidRDefault="006160AA" w:rsidP="00603151"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</w:p>
    <w:p w:rsidR="00560F14" w:rsidRPr="00190433" w:rsidRDefault="00672EB6" w:rsidP="00A902D5">
      <w:pPr>
        <w:suppressAutoHyphens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hAnsi="Gadugi" w:cs="Arial"/>
          <w:bCs/>
          <w:sz w:val="24"/>
          <w:szCs w:val="24"/>
          <w:lang w:eastAsia="ar-SA"/>
        </w:rPr>
        <w:tab/>
      </w:r>
      <w:r w:rsidR="00D2793B" w:rsidRPr="00190433">
        <w:rPr>
          <w:rFonts w:ascii="Gadugi" w:hAnsi="Gadugi" w:cs="Arial"/>
          <w:bCs/>
          <w:sz w:val="24"/>
          <w:szCs w:val="24"/>
          <w:lang w:eastAsia="ar-SA"/>
        </w:rPr>
        <w:t>Em análise técnica da matéria, denota-se que</w:t>
      </w:r>
      <w:r w:rsidR="006160AA" w:rsidRPr="00190433">
        <w:rPr>
          <w:rFonts w:ascii="Gadugi" w:hAnsi="Gadugi" w:cs="Arial"/>
          <w:bCs/>
          <w:sz w:val="24"/>
          <w:szCs w:val="24"/>
          <w:lang w:eastAsia="ar-SA"/>
        </w:rPr>
        <w:t xml:space="preserve"> realmente</w:t>
      </w:r>
      <w:r w:rsidR="00D2793B" w:rsidRPr="00190433">
        <w:rPr>
          <w:rFonts w:ascii="Gadugi" w:hAnsi="Gadugi" w:cs="Arial"/>
          <w:bCs/>
          <w:sz w:val="24"/>
          <w:szCs w:val="24"/>
          <w:lang w:eastAsia="ar-SA"/>
        </w:rPr>
        <w:t xml:space="preserve"> não existem óbices jurídicos para tramitação da propositura, posto que a mesma não apresenta </w:t>
      </w:r>
      <w:r w:rsidR="0036448D" w:rsidRPr="00190433">
        <w:rPr>
          <w:rFonts w:ascii="Gadugi" w:eastAsia="Calibri" w:hAnsi="Gadugi" w:cs="Arial"/>
          <w:sz w:val="24"/>
          <w:szCs w:val="24"/>
        </w:rPr>
        <w:t xml:space="preserve">mácula </w:t>
      </w:r>
      <w:r w:rsidR="006160AA" w:rsidRPr="00190433">
        <w:rPr>
          <w:rFonts w:ascii="Gadugi" w:eastAsia="Calibri" w:hAnsi="Gadugi" w:cs="Arial"/>
          <w:sz w:val="24"/>
          <w:szCs w:val="24"/>
        </w:rPr>
        <w:t>em seu bojo</w:t>
      </w:r>
      <w:r w:rsidR="0036448D" w:rsidRPr="00190433">
        <w:rPr>
          <w:rFonts w:ascii="Gadugi" w:eastAsia="Calibri" w:hAnsi="Gadugi" w:cs="Arial"/>
          <w:sz w:val="24"/>
          <w:szCs w:val="24"/>
        </w:rPr>
        <w:t>.</w:t>
      </w:r>
    </w:p>
    <w:p w:rsidR="00CE43A9" w:rsidRPr="00190433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Gadugi" w:eastAsia="Calibri" w:hAnsi="Gadugi" w:cs="Arial"/>
        </w:rPr>
      </w:pPr>
    </w:p>
    <w:p w:rsidR="00AD7587" w:rsidRPr="00190433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Gadugi" w:eastAsia="Calibri" w:hAnsi="Gadugi" w:cs="Arial"/>
        </w:rPr>
      </w:pPr>
      <w:r w:rsidRPr="00190433">
        <w:rPr>
          <w:rFonts w:ascii="Gadugi" w:eastAsia="Calibri" w:hAnsi="Gadugi" w:cs="Arial"/>
        </w:rPr>
        <w:t xml:space="preserve"> </w:t>
      </w:r>
      <w:r w:rsidRPr="00190433">
        <w:rPr>
          <w:rFonts w:ascii="Gadugi" w:eastAsia="Calibri" w:hAnsi="Gadugi" w:cs="Arial"/>
        </w:rPr>
        <w:tab/>
      </w:r>
      <w:r w:rsidR="006160AA" w:rsidRPr="00190433">
        <w:rPr>
          <w:rFonts w:ascii="Gadugi" w:eastAsia="Calibri" w:hAnsi="Gadugi" w:cs="Arial"/>
        </w:rPr>
        <w:t>Trata-se</w:t>
      </w:r>
      <w:r w:rsidR="00AD7587" w:rsidRPr="00190433">
        <w:rPr>
          <w:rFonts w:ascii="Gadugi" w:eastAsia="Calibri" w:hAnsi="Gadugi" w:cs="Arial"/>
        </w:rPr>
        <w:t xml:space="preserve"> de um assunto de interesse local, se encontrando dentro da competência legislativa do Município, conforme determina o artigo 30, inciso I da Constituição Federal.</w:t>
      </w:r>
    </w:p>
    <w:p w:rsidR="00AD7587" w:rsidRPr="00190433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Gadugi" w:eastAsia="Calibri" w:hAnsi="Gadugi" w:cs="Arial"/>
        </w:rPr>
      </w:pPr>
    </w:p>
    <w:p w:rsidR="000B4385" w:rsidRPr="00190433" w:rsidRDefault="000B4385" w:rsidP="00AD7587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ab/>
        <w:t>Quanto ao aspecto constitucional, legal e regimental, denota-se que o presente projeto não apresenta conflitos junto ao ordenamento jurídico vigente, não havendo vícios de constitucionalidade.</w:t>
      </w:r>
    </w:p>
    <w:p w:rsidR="00F76285" w:rsidRPr="00190433" w:rsidRDefault="00F76285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:rsidR="000B4385" w:rsidRDefault="000B4385" w:rsidP="00603151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 w:rsidRPr="00190433">
        <w:rPr>
          <w:rFonts w:ascii="Gadugi" w:eastAsia="Calibri" w:hAnsi="Gadugi" w:cs="Arial"/>
          <w:sz w:val="24"/>
          <w:szCs w:val="24"/>
        </w:rPr>
        <w:t>e técnica legislativa, não havendo apontamentos neste sentido.</w:t>
      </w:r>
    </w:p>
    <w:p w:rsidR="00603151" w:rsidRPr="00190433" w:rsidRDefault="00603151" w:rsidP="00603151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:rsidR="00943AA9" w:rsidRPr="00190433" w:rsidRDefault="000B4385" w:rsidP="000B438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>Desta forma, seja no âmbito jurídico ou gramatical, não</w:t>
      </w:r>
      <w:r w:rsidR="006160AA" w:rsidRPr="00190433">
        <w:rPr>
          <w:rFonts w:ascii="Gadugi" w:eastAsia="Calibri" w:hAnsi="Gadugi" w:cs="Arial"/>
          <w:sz w:val="24"/>
          <w:szCs w:val="24"/>
        </w:rPr>
        <w:t xml:space="preserve"> se vislumbra</w:t>
      </w:r>
      <w:r w:rsidRPr="00190433">
        <w:rPr>
          <w:rFonts w:ascii="Gadugi" w:eastAsia="Calibri" w:hAnsi="Gadugi" w:cs="Arial"/>
          <w:sz w:val="24"/>
          <w:szCs w:val="24"/>
        </w:rPr>
        <w:t xml:space="preserve"> irregularidades na propositura ora analisada, motivo pelo qual </w:t>
      </w:r>
      <w:r w:rsidR="00943AA9" w:rsidRPr="00190433">
        <w:rPr>
          <w:rFonts w:ascii="Gadugi" w:eastAsia="Calibri" w:hAnsi="Gadugi" w:cs="Arial"/>
          <w:sz w:val="24"/>
          <w:szCs w:val="24"/>
        </w:rPr>
        <w:t xml:space="preserve">não </w:t>
      </w:r>
      <w:r w:rsidR="00323692" w:rsidRPr="00190433">
        <w:rPr>
          <w:rFonts w:ascii="Gadugi" w:eastAsia="Calibri" w:hAnsi="Gadugi" w:cs="Arial"/>
          <w:sz w:val="24"/>
          <w:szCs w:val="24"/>
        </w:rPr>
        <w:t>se verifica</w:t>
      </w:r>
      <w:r w:rsidR="00943AA9" w:rsidRPr="00190433">
        <w:rPr>
          <w:rFonts w:ascii="Gadugi" w:eastAsia="Calibri" w:hAnsi="Gadugi" w:cs="Arial"/>
          <w:sz w:val="24"/>
          <w:szCs w:val="24"/>
        </w:rPr>
        <w:t xml:space="preserve"> óbices para continuidade da</w:t>
      </w:r>
      <w:r w:rsidR="002D707D" w:rsidRPr="00190433">
        <w:rPr>
          <w:rFonts w:ascii="Gadugi" w:eastAsia="Calibri" w:hAnsi="Gadugi" w:cs="Arial"/>
          <w:sz w:val="24"/>
          <w:szCs w:val="24"/>
        </w:rPr>
        <w:t xml:space="preserve"> proposta apresentada </w:t>
      </w:r>
      <w:r w:rsidRPr="00190433">
        <w:rPr>
          <w:rFonts w:ascii="Gadugi" w:eastAsia="Calibri" w:hAnsi="Gadugi" w:cs="Arial"/>
          <w:sz w:val="24"/>
          <w:szCs w:val="24"/>
        </w:rPr>
        <w:t>pelos Srs. Vereadores</w:t>
      </w:r>
      <w:r w:rsidR="002D707D" w:rsidRPr="00190433">
        <w:rPr>
          <w:rFonts w:ascii="Gadugi" w:eastAsia="Calibri" w:hAnsi="Gadugi" w:cs="Arial"/>
          <w:sz w:val="24"/>
          <w:szCs w:val="24"/>
        </w:rPr>
        <w:t>.</w:t>
      </w:r>
    </w:p>
    <w:p w:rsidR="00943AA9" w:rsidRPr="00190433" w:rsidRDefault="00943AA9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 xml:space="preserve"> </w:t>
      </w:r>
    </w:p>
    <w:p w:rsidR="002D707D" w:rsidRPr="00190433" w:rsidRDefault="002D707D" w:rsidP="00A902D5">
      <w:pPr>
        <w:suppressAutoHyphens/>
        <w:spacing w:line="380" w:lineRule="atLeast"/>
        <w:jc w:val="both"/>
        <w:rPr>
          <w:rFonts w:ascii="Gadugi" w:hAnsi="Gadugi" w:cs="Arial"/>
          <w:b/>
          <w:bCs/>
          <w:sz w:val="24"/>
          <w:szCs w:val="24"/>
          <w:lang w:eastAsia="ar-SA"/>
        </w:rPr>
      </w:pPr>
      <w:r w:rsidRPr="00190433">
        <w:rPr>
          <w:rFonts w:ascii="Gadugi" w:hAnsi="Gadugi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190433" w:rsidRDefault="002D707D" w:rsidP="00A902D5"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</w:p>
    <w:p w:rsidR="002D707D" w:rsidRPr="00190433" w:rsidRDefault="002D707D" w:rsidP="00A902D5"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  <w:r w:rsidRPr="00190433">
        <w:rPr>
          <w:rFonts w:ascii="Gadugi" w:hAnsi="Gadugi" w:cs="Arial"/>
          <w:bCs/>
          <w:sz w:val="24"/>
          <w:szCs w:val="24"/>
          <w:lang w:eastAsia="ar-SA"/>
        </w:rPr>
        <w:t xml:space="preserve"> </w:t>
      </w:r>
      <w:r w:rsidRPr="00190433">
        <w:rPr>
          <w:rFonts w:ascii="Gadugi" w:hAnsi="Gadugi" w:cs="Arial"/>
          <w:bCs/>
          <w:sz w:val="24"/>
          <w:szCs w:val="24"/>
          <w:lang w:eastAsia="ar-SA"/>
        </w:rPr>
        <w:tab/>
      </w:r>
      <w:r w:rsidR="000C50B6" w:rsidRPr="00190433">
        <w:rPr>
          <w:rFonts w:ascii="Gadugi" w:hAnsi="Gadugi" w:cs="Arial"/>
          <w:bCs/>
          <w:sz w:val="24"/>
          <w:szCs w:val="24"/>
          <w:lang w:eastAsia="ar-SA"/>
        </w:rPr>
        <w:t>O Relator</w:t>
      </w:r>
      <w:r w:rsidRPr="00190433">
        <w:rPr>
          <w:rFonts w:ascii="Gadugi" w:hAnsi="Gadugi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Pr="00190433" w:rsidRDefault="00D2793B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0C50B6" w:rsidRPr="00190433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0C50B6" w:rsidRPr="00190433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603151" w:rsidRPr="00190433" w:rsidRDefault="00603151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0C50B6" w:rsidRPr="00190433" w:rsidRDefault="000C50B6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:rsidR="006160AA" w:rsidRPr="00190433" w:rsidRDefault="006160AA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:rsidR="000C50B6" w:rsidRPr="00190433" w:rsidRDefault="000C50B6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  <w:r w:rsidRPr="00190433">
        <w:rPr>
          <w:rFonts w:ascii="Gadugi" w:eastAsia="Calibri" w:hAnsi="Gadugi" w:cs="Arial"/>
          <w:b/>
          <w:sz w:val="24"/>
          <w:szCs w:val="24"/>
        </w:rPr>
        <w:t>PARECER</w:t>
      </w:r>
      <w:r w:rsidR="00603151">
        <w:rPr>
          <w:rFonts w:ascii="Gadugi" w:eastAsia="Calibri" w:hAnsi="Gadugi" w:cs="Arial"/>
          <w:b/>
          <w:sz w:val="24"/>
          <w:szCs w:val="24"/>
        </w:rPr>
        <w:t xml:space="preserve"> N.º 101</w:t>
      </w:r>
      <w:r w:rsidR="006160AA" w:rsidRPr="00190433">
        <w:rPr>
          <w:rFonts w:ascii="Gadugi" w:eastAsia="Calibri" w:hAnsi="Gadugi" w:cs="Arial"/>
          <w:b/>
          <w:sz w:val="24"/>
          <w:szCs w:val="24"/>
        </w:rPr>
        <w:t>/2021</w:t>
      </w:r>
      <w:r w:rsidRPr="00190433">
        <w:rPr>
          <w:rFonts w:ascii="Gadugi" w:eastAsia="Calibri" w:hAnsi="Gadugi" w:cs="Arial"/>
          <w:b/>
          <w:sz w:val="24"/>
          <w:szCs w:val="24"/>
        </w:rPr>
        <w:t xml:space="preserve"> DA COMISSÃO DE JUSTIÇA E REDAÇÃO</w:t>
      </w:r>
    </w:p>
    <w:p w:rsidR="000C50B6" w:rsidRPr="00190433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0C50B6" w:rsidRPr="00190433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0C50B6" w:rsidRPr="00190433" w:rsidRDefault="000C50B6" w:rsidP="000C50B6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190433">
        <w:rPr>
          <w:rFonts w:ascii="Gadugi" w:eastAsia="Calibri" w:hAnsi="Gadugi" w:cs="Arial"/>
          <w:sz w:val="24"/>
          <w:szCs w:val="24"/>
        </w:rPr>
        <w:t xml:space="preserve">Seguindo o Voto exarado pelo Relator e conforme determina o artigo 35 da Resolução n.º 276 de 09 de novembro de 2.010, por unanimidade a Comissão de Justiça e Redação formaliza o presente </w:t>
      </w:r>
      <w:r w:rsidRPr="00190433">
        <w:rPr>
          <w:rFonts w:ascii="Gadugi" w:eastAsia="Calibri" w:hAnsi="Gadugi" w:cs="Arial"/>
          <w:b/>
          <w:sz w:val="24"/>
          <w:szCs w:val="24"/>
        </w:rPr>
        <w:t>PARECER FAVORÁVEL</w:t>
      </w:r>
      <w:r w:rsidRPr="00190433">
        <w:rPr>
          <w:rFonts w:ascii="Gadugi" w:eastAsia="Calibri" w:hAnsi="Gadugi" w:cs="Arial"/>
          <w:sz w:val="24"/>
          <w:szCs w:val="24"/>
        </w:rPr>
        <w:t>.</w:t>
      </w:r>
    </w:p>
    <w:p w:rsidR="000C50B6" w:rsidRPr="00190433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0C50B6" w:rsidRPr="00190433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:rsidR="00560F14" w:rsidRPr="00190433" w:rsidRDefault="00B41EEA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  <w:r w:rsidRPr="00190433">
        <w:rPr>
          <w:rFonts w:ascii="Gadugi" w:eastAsia="Calibri" w:hAnsi="Gadugi" w:cs="Arial"/>
          <w:sz w:val="24"/>
          <w:szCs w:val="24"/>
          <w:highlight w:val="white"/>
        </w:rPr>
        <w:t xml:space="preserve">Sala das Comissões, em </w:t>
      </w:r>
      <w:r w:rsidR="00603151">
        <w:rPr>
          <w:rFonts w:ascii="Gadugi" w:eastAsia="Calibri" w:hAnsi="Gadugi" w:cs="Arial"/>
          <w:sz w:val="24"/>
          <w:szCs w:val="24"/>
          <w:highlight w:val="white"/>
        </w:rPr>
        <w:t xml:space="preserve">23 de </w:t>
      </w:r>
      <w:proofErr w:type="gramStart"/>
      <w:r w:rsidR="00603151">
        <w:rPr>
          <w:rFonts w:ascii="Gadugi" w:eastAsia="Calibri" w:hAnsi="Gadugi" w:cs="Arial"/>
          <w:sz w:val="24"/>
          <w:szCs w:val="24"/>
          <w:highlight w:val="white"/>
        </w:rPr>
        <w:t>Novembro</w:t>
      </w:r>
      <w:proofErr w:type="gramEnd"/>
      <w:r w:rsidR="0036448D" w:rsidRPr="00190433">
        <w:rPr>
          <w:rFonts w:ascii="Gadugi" w:eastAsia="Calibri" w:hAnsi="Gadugi" w:cs="Arial"/>
          <w:sz w:val="24"/>
          <w:szCs w:val="24"/>
          <w:highlight w:val="white"/>
        </w:rPr>
        <w:t xml:space="preserve"> de 2.021.</w:t>
      </w:r>
    </w:p>
    <w:p w:rsidR="00560F14" w:rsidRPr="00190433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 w:rsidR="000C50B6" w:rsidRPr="00190433" w:rsidRDefault="000C50B6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 w:rsidR="00560F14" w:rsidRPr="00190433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 w:rsidRPr="00190433"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JUSTIÇA E REDAÇÃO</w:t>
      </w:r>
    </w:p>
    <w:p w:rsidR="00560F14" w:rsidRPr="00190433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:rsidR="00A902D5" w:rsidRPr="00190433" w:rsidRDefault="00A902D5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:rsidR="00560F14" w:rsidRPr="00190433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:rsidR="00560F14" w:rsidRPr="00190433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190433">
        <w:rPr>
          <w:rFonts w:ascii="Gadugi" w:eastAsia="Calibri" w:hAnsi="Gadugi" w:cs="Arial"/>
          <w:b/>
          <w:sz w:val="24"/>
          <w:szCs w:val="24"/>
          <w:highlight w:val="white"/>
        </w:rPr>
        <w:t>VEREADORA LUZIA CRISTINA CORTÊS</w:t>
      </w:r>
    </w:p>
    <w:p w:rsidR="00560F14" w:rsidRPr="00190433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190433"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  <w:r w:rsidR="00603151">
        <w:rPr>
          <w:rFonts w:ascii="Gadugi" w:eastAsia="Calibri" w:hAnsi="Gadugi" w:cs="Arial"/>
          <w:b/>
          <w:sz w:val="24"/>
          <w:szCs w:val="24"/>
          <w:highlight w:val="white"/>
        </w:rPr>
        <w:t>/RELATORA</w:t>
      </w:r>
    </w:p>
    <w:p w:rsidR="00560F14" w:rsidRPr="00190433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:rsidR="00560F14" w:rsidRPr="00190433" w:rsidRDefault="00560F14" w:rsidP="00603151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  <w:bookmarkStart w:id="0" w:name="_GoBack"/>
      <w:bookmarkEnd w:id="0"/>
    </w:p>
    <w:p w:rsidR="00560F14" w:rsidRPr="00190433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190433">
        <w:rPr>
          <w:rFonts w:ascii="Gadugi" w:eastAsia="Calibri" w:hAnsi="Gadugi" w:cs="Arial"/>
          <w:b/>
          <w:sz w:val="24"/>
          <w:szCs w:val="24"/>
          <w:highlight w:val="white"/>
        </w:rPr>
        <w:t>VEREADOR TIAGO CESAR COSTA</w:t>
      </w:r>
    </w:p>
    <w:p w:rsidR="00560F14" w:rsidRPr="00190433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190433"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 w:rsidR="00560F14" w:rsidRPr="00190433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:rsidR="00560F14" w:rsidRPr="00190433" w:rsidRDefault="00560F14" w:rsidP="00603151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:rsidR="00560F14" w:rsidRPr="00190433" w:rsidRDefault="00B31022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190433">
        <w:rPr>
          <w:rFonts w:ascii="Gadugi" w:eastAsia="Calibri" w:hAnsi="Gadugi" w:cs="Arial"/>
          <w:b/>
          <w:sz w:val="24"/>
          <w:szCs w:val="24"/>
          <w:highlight w:val="white"/>
        </w:rPr>
        <w:t>VEREADOR JOÃO</w:t>
      </w:r>
      <w:r w:rsidR="0036448D" w:rsidRPr="00190433">
        <w:rPr>
          <w:rFonts w:ascii="Gadugi" w:eastAsia="Calibri" w:hAnsi="Gadugi" w:cs="Arial"/>
          <w:b/>
          <w:sz w:val="24"/>
          <w:szCs w:val="24"/>
          <w:highlight w:val="white"/>
        </w:rPr>
        <w:t xml:space="preserve"> VICTOR GASPARINI</w:t>
      </w:r>
    </w:p>
    <w:p w:rsidR="00560F14" w:rsidRPr="00190433" w:rsidRDefault="00603151" w:rsidP="00A902D5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 xml:space="preserve">MEMBRO </w:t>
      </w:r>
    </w:p>
    <w:sectPr w:rsidR="00560F14" w:rsidRPr="00190433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37" w:rsidRDefault="00483437" w:rsidP="00560F14">
      <w:r>
        <w:separator/>
      </w:r>
    </w:p>
  </w:endnote>
  <w:endnote w:type="continuationSeparator" w:id="0">
    <w:p w:rsidR="00483437" w:rsidRDefault="00483437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37" w:rsidRDefault="00483437" w:rsidP="00560F14">
      <w:r>
        <w:separator/>
      </w:r>
    </w:p>
  </w:footnote>
  <w:footnote w:type="continuationSeparator" w:id="0">
    <w:p w:rsidR="00483437" w:rsidRDefault="00483437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C31A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3FF1"/>
    <w:rsid w:val="0004624F"/>
    <w:rsid w:val="00052C37"/>
    <w:rsid w:val="00053AC7"/>
    <w:rsid w:val="000A5D25"/>
    <w:rsid w:val="000B4385"/>
    <w:rsid w:val="000C50B6"/>
    <w:rsid w:val="000E015F"/>
    <w:rsid w:val="001874E8"/>
    <w:rsid w:val="00190433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84C2C"/>
    <w:rsid w:val="003A54C9"/>
    <w:rsid w:val="003B0E61"/>
    <w:rsid w:val="003C4EC7"/>
    <w:rsid w:val="003E203F"/>
    <w:rsid w:val="003E7514"/>
    <w:rsid w:val="003F2DB5"/>
    <w:rsid w:val="004550EF"/>
    <w:rsid w:val="004764D3"/>
    <w:rsid w:val="00481F09"/>
    <w:rsid w:val="00483437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3151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E06CB"/>
    <w:rsid w:val="009F4947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8278B"/>
    <w:rsid w:val="00F94033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08BE8-ED31-4E33-8319-A07FAFB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Conta da Microsoft</cp:lastModifiedBy>
  <cp:revision>2</cp:revision>
  <cp:lastPrinted>2021-05-13T17:10:00Z</cp:lastPrinted>
  <dcterms:created xsi:type="dcterms:W3CDTF">2021-11-23T18:14:00Z</dcterms:created>
  <dcterms:modified xsi:type="dcterms:W3CDTF">2021-11-23T18:14:00Z</dcterms:modified>
</cp:coreProperties>
</file>