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234990">
        <w:rPr>
          <w:rFonts w:ascii="Arial" w:eastAsia="Arial" w:hAnsi="Arial" w:cs="Arial"/>
          <w:b/>
          <w:sz w:val="24"/>
          <w:szCs w:val="24"/>
        </w:rPr>
        <w:t>175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 xml:space="preserve">o Exmo. Sr. Vereador </w:t>
      </w:r>
      <w:r w:rsidR="006160AA">
        <w:rPr>
          <w:rFonts w:ascii="Arial" w:eastAsia="Calibri" w:hAnsi="Arial" w:cs="Arial"/>
          <w:sz w:val="24"/>
          <w:szCs w:val="24"/>
        </w:rPr>
        <w:t xml:space="preserve">Marcos </w:t>
      </w:r>
      <w:r w:rsidR="004C7F2B">
        <w:rPr>
          <w:rFonts w:ascii="Arial" w:eastAsia="Calibri" w:hAnsi="Arial" w:cs="Arial"/>
          <w:sz w:val="24"/>
          <w:szCs w:val="24"/>
        </w:rPr>
        <w:t>Antonio Franco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234990">
        <w:rPr>
          <w:rFonts w:ascii="Arial" w:eastAsia="Calibri" w:hAnsi="Arial" w:cs="Arial"/>
          <w:b/>
          <w:sz w:val="24"/>
          <w:szCs w:val="24"/>
        </w:rPr>
        <w:t>DISPÕE SOBRE A OBRIGATORIEDADE DE CADEIRAS DE RODAS EM ESTABELECIMENTOS COMERCIAIS DE GRANDE PORTE, AGÊNCIAS E INSTITUIÇÕES BANCÁRIAS, INSTALADOS NO MUNICÍPIO DE MOGI MIRIM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O Projeto </w:t>
      </w:r>
      <w:r w:rsidR="004C7F2B">
        <w:rPr>
          <w:rFonts w:ascii="Arial" w:eastAsia="Calibri" w:hAnsi="Arial" w:cs="Arial"/>
          <w:sz w:val="24"/>
          <w:szCs w:val="24"/>
        </w:rPr>
        <w:t xml:space="preserve">impõe que os estabelecimentos acima de 1.000 m² </w:t>
      </w:r>
      <w:r w:rsidR="00E36462">
        <w:rPr>
          <w:rFonts w:ascii="Arial" w:eastAsia="Calibri" w:hAnsi="Arial" w:cs="Arial"/>
          <w:sz w:val="24"/>
          <w:szCs w:val="24"/>
        </w:rPr>
        <w:t xml:space="preserve">mantenham à disposição de seus clientes no mínimo duas cadeiras </w:t>
      </w:r>
      <w:r w:rsidR="003C71DB">
        <w:rPr>
          <w:rFonts w:ascii="Arial" w:eastAsia="Calibri" w:hAnsi="Arial" w:cs="Arial"/>
          <w:sz w:val="24"/>
          <w:szCs w:val="24"/>
        </w:rPr>
        <w:t>de rodas para atendimento de portadores de deficiência física ou com a capacidade de mobilidade reduzida, mesmo que por período transitório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pela constitucionalidade da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6160AA" w:rsidRDefault="006160AA" w:rsidP="00A902D5">
      <w:pPr>
        <w:suppressAutoHyphens/>
        <w:spacing w:line="38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>propositura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, denota-se que</w:t>
      </w:r>
      <w:r w:rsidR="006160AA">
        <w:rPr>
          <w:rFonts w:ascii="Arial" w:hAnsi="Arial" w:cs="Arial"/>
          <w:bCs/>
          <w:sz w:val="24"/>
          <w:szCs w:val="24"/>
          <w:lang w:eastAsia="ar-SA"/>
        </w:rPr>
        <w:t xml:space="preserve"> realmente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existem óbices jurídicos para </w:t>
      </w:r>
      <w:r w:rsidR="003D12E5">
        <w:rPr>
          <w:rFonts w:ascii="Arial" w:hAnsi="Arial" w:cs="Arial"/>
          <w:bCs/>
          <w:sz w:val="24"/>
          <w:szCs w:val="24"/>
          <w:lang w:eastAsia="ar-SA"/>
        </w:rPr>
        <w:t xml:space="preserve">sua 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tramitação,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lastRenderedPageBreak/>
        <w:t xml:space="preserve"> </w:t>
      </w:r>
      <w:r w:rsidRPr="00AD7587">
        <w:rPr>
          <w:rFonts w:ascii="Arial" w:eastAsia="Calibri" w:hAnsi="Arial" w:cs="Arial"/>
        </w:rPr>
        <w:tab/>
      </w:r>
      <w:r w:rsidR="006160AA">
        <w:rPr>
          <w:rFonts w:ascii="Arial" w:eastAsia="Calibri" w:hAnsi="Arial" w:cs="Arial"/>
        </w:rPr>
        <w:t>Trata-se</w:t>
      </w:r>
      <w:r w:rsidR="00AD7587" w:rsidRPr="00AD7587">
        <w:rPr>
          <w:rFonts w:ascii="Arial" w:eastAsia="Calibri" w:hAnsi="Arial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</w:t>
      </w:r>
      <w:r w:rsidR="00163140">
        <w:rPr>
          <w:rFonts w:ascii="Arial" w:eastAsia="Calibri" w:hAnsi="Arial" w:cs="Arial"/>
          <w:sz w:val="24"/>
          <w:szCs w:val="24"/>
        </w:rPr>
        <w:t>foram realizadas as alterações necessárias por meio de emenda sugerida pelo relator</w:t>
      </w:r>
      <w:r w:rsidR="00C862C4">
        <w:rPr>
          <w:rFonts w:ascii="Arial" w:eastAsia="Calibri" w:hAnsi="Arial" w:cs="Arial"/>
          <w:sz w:val="24"/>
          <w:szCs w:val="24"/>
        </w:rPr>
        <w:t>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3C71DB">
        <w:rPr>
          <w:rFonts w:ascii="Arial" w:eastAsia="Calibri" w:hAnsi="Arial" w:cs="Arial"/>
          <w:sz w:val="24"/>
          <w:szCs w:val="24"/>
        </w:rPr>
        <w:t>pelo Sr. Vereador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3C71DB">
        <w:rPr>
          <w:rFonts w:ascii="Arial" w:hAnsi="Arial" w:cs="Arial"/>
          <w:bCs/>
          <w:sz w:val="24"/>
          <w:szCs w:val="24"/>
          <w:lang w:eastAsia="ar-SA"/>
        </w:rPr>
        <w:t xml:space="preserve">propôs ao autor que realizasse emenda junto ao artigo 3º, Parágrafo Único, para alterar a unidade </w:t>
      </w:r>
      <w:r w:rsidR="00337A64">
        <w:rPr>
          <w:rFonts w:ascii="Arial" w:hAnsi="Arial" w:cs="Arial"/>
          <w:bCs/>
          <w:sz w:val="24"/>
          <w:szCs w:val="24"/>
          <w:lang w:eastAsia="ar-SA"/>
        </w:rPr>
        <w:t xml:space="preserve">fiscal para UFESP, </w:t>
      </w:r>
      <w:r w:rsidR="00163140">
        <w:rPr>
          <w:rFonts w:ascii="Arial" w:hAnsi="Arial" w:cs="Arial"/>
          <w:bCs/>
          <w:sz w:val="24"/>
          <w:szCs w:val="24"/>
          <w:lang w:eastAsia="ar-SA"/>
        </w:rPr>
        <w:t xml:space="preserve">além de correção de pequenos erros gramaticais, </w:t>
      </w:r>
      <w:r w:rsidR="00337A64">
        <w:rPr>
          <w:rFonts w:ascii="Arial" w:hAnsi="Arial" w:cs="Arial"/>
          <w:bCs/>
          <w:sz w:val="24"/>
          <w:szCs w:val="24"/>
          <w:lang w:eastAsia="ar-SA"/>
        </w:rPr>
        <w:t>o que foi devidamente formalizado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>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234990">
        <w:rPr>
          <w:rFonts w:ascii="Arial" w:eastAsia="Calibri" w:hAnsi="Arial" w:cs="Arial"/>
          <w:b/>
          <w:sz w:val="24"/>
          <w:szCs w:val="24"/>
        </w:rPr>
        <w:t xml:space="preserve"> N.º 103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163140">
        <w:rPr>
          <w:rFonts w:ascii="Arial" w:eastAsia="Calibri" w:hAnsi="Arial" w:cs="Arial"/>
          <w:sz w:val="24"/>
          <w:szCs w:val="24"/>
          <w:highlight w:val="white"/>
        </w:rPr>
        <w:t>01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163140">
        <w:rPr>
          <w:rFonts w:ascii="Arial" w:eastAsia="Calibri" w:hAnsi="Arial" w:cs="Arial"/>
          <w:sz w:val="24"/>
          <w:szCs w:val="24"/>
          <w:highlight w:val="white"/>
        </w:rPr>
        <w:t>dez</w:t>
      </w:r>
      <w:r w:rsidR="003D12E5">
        <w:rPr>
          <w:rFonts w:ascii="Arial" w:eastAsia="Calibri" w:hAnsi="Arial" w:cs="Arial"/>
          <w:sz w:val="24"/>
          <w:szCs w:val="24"/>
          <w:highlight w:val="white"/>
        </w:rPr>
        <w:t>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163140">
        <w:rPr>
          <w:rFonts w:ascii="Arial" w:eastAsia="Calibri" w:hAnsi="Arial" w:cs="Arial"/>
          <w:b/>
          <w:sz w:val="24"/>
          <w:szCs w:val="24"/>
          <w:highlight w:val="white"/>
        </w:rPr>
        <w:t xml:space="preserve"> JOÃO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163140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</w:t>
      </w:r>
      <w:r w:rsidR="00163140">
        <w:rPr>
          <w:rFonts w:ascii="Arial" w:eastAsia="Calibri" w:hAnsi="Arial" w:cs="Arial"/>
          <w:b/>
          <w:sz w:val="24"/>
          <w:szCs w:val="24"/>
          <w:highlight w:val="white"/>
        </w:rPr>
        <w:t>A MARA CRISTINA CHOQUETTA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163140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560F14" w:rsidRPr="00C862C4" w:rsidRDefault="00163140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F35" w:rsidRDefault="00D42F35" w:rsidP="00560F14">
      <w:r>
        <w:separator/>
      </w:r>
    </w:p>
  </w:endnote>
  <w:endnote w:type="continuationSeparator" w:id="1">
    <w:p w:rsidR="00D42F35" w:rsidRDefault="00D42F35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F35" w:rsidRDefault="00D42F35" w:rsidP="00560F14">
      <w:r>
        <w:separator/>
      </w:r>
    </w:p>
  </w:footnote>
  <w:footnote w:type="continuationSeparator" w:id="1">
    <w:p w:rsidR="00D42F35" w:rsidRDefault="00D42F35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0B748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B4385"/>
    <w:rsid w:val="000B7481"/>
    <w:rsid w:val="000C50B6"/>
    <w:rsid w:val="000E015F"/>
    <w:rsid w:val="00163140"/>
    <w:rsid w:val="001874E8"/>
    <w:rsid w:val="00191F83"/>
    <w:rsid w:val="001C2878"/>
    <w:rsid w:val="001E1D2C"/>
    <w:rsid w:val="001E393B"/>
    <w:rsid w:val="00234990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37A64"/>
    <w:rsid w:val="003606D0"/>
    <w:rsid w:val="0036448D"/>
    <w:rsid w:val="003654DA"/>
    <w:rsid w:val="00393A24"/>
    <w:rsid w:val="003A54C9"/>
    <w:rsid w:val="003B0E61"/>
    <w:rsid w:val="003C4EC7"/>
    <w:rsid w:val="003C71DB"/>
    <w:rsid w:val="003D12E5"/>
    <w:rsid w:val="003E7514"/>
    <w:rsid w:val="003F2DB5"/>
    <w:rsid w:val="004550EF"/>
    <w:rsid w:val="004764D3"/>
    <w:rsid w:val="00481F09"/>
    <w:rsid w:val="004C7F2B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5F6DFF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D2979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2068F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42F35"/>
    <w:rsid w:val="00DB4774"/>
    <w:rsid w:val="00DD5841"/>
    <w:rsid w:val="00DE2BBD"/>
    <w:rsid w:val="00DE5ED2"/>
    <w:rsid w:val="00E154A7"/>
    <w:rsid w:val="00E36462"/>
    <w:rsid w:val="00EB23CE"/>
    <w:rsid w:val="00EC7DF6"/>
    <w:rsid w:val="00EE2DDB"/>
    <w:rsid w:val="00F3604A"/>
    <w:rsid w:val="00F67E72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4</cp:revision>
  <cp:lastPrinted>2021-12-01T10:58:00Z</cp:lastPrinted>
  <dcterms:created xsi:type="dcterms:W3CDTF">2021-11-25T13:11:00Z</dcterms:created>
  <dcterms:modified xsi:type="dcterms:W3CDTF">2021-12-01T11:01:00Z</dcterms:modified>
</cp:coreProperties>
</file>