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393A24">
        <w:rPr>
          <w:rFonts w:ascii="Arial" w:eastAsia="Arial" w:hAnsi="Arial" w:cs="Arial"/>
          <w:b/>
          <w:sz w:val="24"/>
          <w:szCs w:val="24"/>
        </w:rPr>
        <w:t>178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FA1D7B">
        <w:rPr>
          <w:rFonts w:ascii="Arial" w:eastAsia="Calibri" w:hAnsi="Arial" w:cs="Arial"/>
          <w:sz w:val="24"/>
          <w:szCs w:val="24"/>
        </w:rPr>
        <w:t>a Exma</w:t>
      </w:r>
      <w:r w:rsidR="003B0E61">
        <w:rPr>
          <w:rFonts w:ascii="Arial" w:eastAsia="Calibri" w:hAnsi="Arial" w:cs="Arial"/>
          <w:sz w:val="24"/>
          <w:szCs w:val="24"/>
        </w:rPr>
        <w:t>. Sr</w:t>
      </w:r>
      <w:r w:rsidR="00FA1D7B">
        <w:rPr>
          <w:rFonts w:ascii="Arial" w:eastAsia="Calibri" w:hAnsi="Arial" w:cs="Arial"/>
          <w:sz w:val="24"/>
          <w:szCs w:val="24"/>
        </w:rPr>
        <w:t>a</w:t>
      </w:r>
      <w:r w:rsidR="003B0E61">
        <w:rPr>
          <w:rFonts w:ascii="Arial" w:eastAsia="Calibri" w:hAnsi="Arial" w:cs="Arial"/>
          <w:sz w:val="24"/>
          <w:szCs w:val="24"/>
        </w:rPr>
        <w:t>. Vereador</w:t>
      </w:r>
      <w:r w:rsidR="00FA1D7B">
        <w:rPr>
          <w:rFonts w:ascii="Arial" w:eastAsia="Calibri" w:hAnsi="Arial" w:cs="Arial"/>
          <w:sz w:val="24"/>
          <w:szCs w:val="24"/>
        </w:rPr>
        <w:t>a</w:t>
      </w:r>
      <w:r w:rsidR="003B0E61">
        <w:rPr>
          <w:rFonts w:ascii="Arial" w:eastAsia="Calibri" w:hAnsi="Arial" w:cs="Arial"/>
          <w:sz w:val="24"/>
          <w:szCs w:val="24"/>
        </w:rPr>
        <w:t xml:space="preserve"> </w:t>
      </w:r>
      <w:r w:rsidR="00FA1D7B">
        <w:rPr>
          <w:rFonts w:ascii="Arial" w:eastAsia="Calibri" w:hAnsi="Arial" w:cs="Arial"/>
          <w:sz w:val="24"/>
          <w:szCs w:val="24"/>
        </w:rPr>
        <w:t>Sônia Regina Rodrigues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3D12E5">
        <w:rPr>
          <w:rFonts w:ascii="Arial" w:eastAsia="Calibri" w:hAnsi="Arial" w:cs="Arial"/>
          <w:b/>
          <w:sz w:val="24"/>
          <w:szCs w:val="24"/>
        </w:rPr>
        <w:t>INSTITUI O DIA DOS PROFISSIONAIS DAS FORÇAS ARMADAS E DAS FORÇAS DE SEGURANÇA PÚBLICA NO MUNICÍPIO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D7587">
        <w:rPr>
          <w:rFonts w:ascii="Arial" w:eastAsia="Calibri" w:hAnsi="Arial" w:cs="Arial"/>
          <w:sz w:val="24"/>
          <w:szCs w:val="24"/>
        </w:rPr>
        <w:t>n</w:t>
      </w:r>
      <w:r w:rsidR="00043FF1" w:rsidRPr="00A902D5">
        <w:rPr>
          <w:rFonts w:ascii="Arial" w:eastAsia="Calibri" w:hAnsi="Arial" w:cs="Arial"/>
          <w:sz w:val="24"/>
          <w:szCs w:val="24"/>
        </w:rPr>
        <w:t>o</w:t>
      </w:r>
      <w:r w:rsidR="00AD7587">
        <w:rPr>
          <w:rFonts w:ascii="Arial" w:eastAsia="Calibri" w:hAnsi="Arial" w:cs="Arial"/>
          <w:sz w:val="24"/>
          <w:szCs w:val="24"/>
        </w:rPr>
        <w:t xml:space="preserve"> Calendário Oficial de Eventos do Município </w:t>
      </w:r>
      <w:r w:rsidR="003D12E5">
        <w:rPr>
          <w:rFonts w:ascii="Arial" w:eastAsia="Calibri" w:hAnsi="Arial" w:cs="Arial"/>
          <w:sz w:val="24"/>
          <w:szCs w:val="24"/>
        </w:rPr>
        <w:t>uma data para lembrar e valorizar aqueles que prestam ou prestaram seus serviços junto às Forças Armadas e às Forças de Segurança Pública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pela constitucionalidade da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6160AA" w:rsidRDefault="006160AA" w:rsidP="00A902D5">
      <w:pPr>
        <w:suppressAutoHyphens/>
        <w:spacing w:line="38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>propositura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, denota-se que</w:t>
      </w:r>
      <w:r w:rsidR="006160AA">
        <w:rPr>
          <w:rFonts w:ascii="Arial" w:hAnsi="Arial" w:cs="Arial"/>
          <w:bCs/>
          <w:sz w:val="24"/>
          <w:szCs w:val="24"/>
          <w:lang w:eastAsia="ar-SA"/>
        </w:rPr>
        <w:t xml:space="preserve"> realmente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existem óbices jurídicos para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 xml:space="preserve">sua 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tramitação,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6160AA">
        <w:rPr>
          <w:rFonts w:ascii="Arial" w:eastAsia="Calibri" w:hAnsi="Arial" w:cs="Arial"/>
        </w:rPr>
        <w:t>Trata-se</w:t>
      </w:r>
      <w:r w:rsidR="00AD7587" w:rsidRPr="00AD7587">
        <w:rPr>
          <w:rFonts w:ascii="Arial" w:eastAsia="Calibri" w:hAnsi="Arial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FA1D7B">
        <w:rPr>
          <w:rFonts w:ascii="Arial" w:eastAsia="Calibri" w:hAnsi="Arial" w:cs="Arial"/>
          <w:sz w:val="24"/>
          <w:szCs w:val="24"/>
        </w:rPr>
        <w:t>pela Sra. Vereadora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393A24">
        <w:rPr>
          <w:rFonts w:ascii="Arial" w:eastAsia="Calibri" w:hAnsi="Arial" w:cs="Arial"/>
          <w:b/>
          <w:sz w:val="24"/>
          <w:szCs w:val="24"/>
        </w:rPr>
        <w:t xml:space="preserve"> N.º 102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8A6B94">
        <w:rPr>
          <w:rFonts w:ascii="Arial" w:eastAsia="Calibri" w:hAnsi="Arial" w:cs="Arial"/>
          <w:sz w:val="24"/>
          <w:szCs w:val="24"/>
          <w:highlight w:val="white"/>
        </w:rPr>
        <w:t>01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8A6B94">
        <w:rPr>
          <w:rFonts w:ascii="Arial" w:eastAsia="Calibri" w:hAnsi="Arial" w:cs="Arial"/>
          <w:sz w:val="24"/>
          <w:szCs w:val="24"/>
          <w:highlight w:val="white"/>
        </w:rPr>
        <w:t>dez</w:t>
      </w:r>
      <w:r w:rsidR="003D12E5">
        <w:rPr>
          <w:rFonts w:ascii="Arial" w:eastAsia="Calibri" w:hAnsi="Arial" w:cs="Arial"/>
          <w:sz w:val="24"/>
          <w:szCs w:val="24"/>
          <w:highlight w:val="white"/>
        </w:rPr>
        <w:t>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 xml:space="preserve"> JOÃO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>A MARA CRISTINA CHOQUETTA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560F14" w:rsidRPr="00C862C4" w:rsidRDefault="008A6B9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C" w:rsidRDefault="0001565C" w:rsidP="00560F14">
      <w:r>
        <w:separator/>
      </w:r>
    </w:p>
  </w:endnote>
  <w:endnote w:type="continuationSeparator" w:id="1">
    <w:p w:rsidR="0001565C" w:rsidRDefault="0001565C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C" w:rsidRDefault="0001565C" w:rsidP="00560F14">
      <w:r>
        <w:separator/>
      </w:r>
    </w:p>
  </w:footnote>
  <w:footnote w:type="continuationSeparator" w:id="1">
    <w:p w:rsidR="0001565C" w:rsidRDefault="0001565C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501D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1565C"/>
    <w:rsid w:val="00043FF1"/>
    <w:rsid w:val="0004624F"/>
    <w:rsid w:val="00052C37"/>
    <w:rsid w:val="00053AC7"/>
    <w:rsid w:val="000A5D25"/>
    <w:rsid w:val="000B4385"/>
    <w:rsid w:val="000C50B6"/>
    <w:rsid w:val="000E015F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93A24"/>
    <w:rsid w:val="003A54C9"/>
    <w:rsid w:val="003B0E61"/>
    <w:rsid w:val="003C4EC7"/>
    <w:rsid w:val="003D12E5"/>
    <w:rsid w:val="003E7514"/>
    <w:rsid w:val="003F2DB5"/>
    <w:rsid w:val="004550EF"/>
    <w:rsid w:val="004764D3"/>
    <w:rsid w:val="00481F09"/>
    <w:rsid w:val="00501DB7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D2979"/>
    <w:rsid w:val="007E7DFE"/>
    <w:rsid w:val="00862605"/>
    <w:rsid w:val="008828DB"/>
    <w:rsid w:val="008A6B94"/>
    <w:rsid w:val="008E2543"/>
    <w:rsid w:val="009204C2"/>
    <w:rsid w:val="00943AA9"/>
    <w:rsid w:val="00946AF7"/>
    <w:rsid w:val="00991F5C"/>
    <w:rsid w:val="00992097"/>
    <w:rsid w:val="009E06CB"/>
    <w:rsid w:val="009F4947"/>
    <w:rsid w:val="00A2068F"/>
    <w:rsid w:val="00A31E50"/>
    <w:rsid w:val="00A42BA5"/>
    <w:rsid w:val="00A51067"/>
    <w:rsid w:val="00A65A03"/>
    <w:rsid w:val="00A7504E"/>
    <w:rsid w:val="00A902D5"/>
    <w:rsid w:val="00AD7587"/>
    <w:rsid w:val="00AE4148"/>
    <w:rsid w:val="00B031B6"/>
    <w:rsid w:val="00B043E8"/>
    <w:rsid w:val="00B203C0"/>
    <w:rsid w:val="00B267F5"/>
    <w:rsid w:val="00B31022"/>
    <w:rsid w:val="00B41EEA"/>
    <w:rsid w:val="00B61AD5"/>
    <w:rsid w:val="00B915BF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A1D7B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4</cp:revision>
  <cp:lastPrinted>2021-12-01T11:02:00Z</cp:lastPrinted>
  <dcterms:created xsi:type="dcterms:W3CDTF">2021-11-25T12:57:00Z</dcterms:created>
  <dcterms:modified xsi:type="dcterms:W3CDTF">2021-12-01T11:03:00Z</dcterms:modified>
</cp:coreProperties>
</file>