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Emenda Modificativa N° 02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MODIFIQUE-SE: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1º O inciso II do Artigo 17 passa a viger com a seguinte redação: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II - sistematizar o levantamento de dados e informações de interesse para o desenvolvimento do  turístico no Município, atualizando anualmente a coleta de informações junto ao Conselho Municipal do Turismo.</w:t>
      </w: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Artigo 2º O inciso II do Artigo 26 passa a viger com a seguinte redação:</w:t>
      </w:r>
    </w:p>
    <w:p w:rsidR="00000000" w:rsidRPr="00000000" w:rsidP="00000000" w14:paraId="000000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II - realizar a avaliação sistemática de desenvolvimento e aprendizagem dos alunos da Educação Básica, e estruturar cronogramas de aulas visando ao desenvolvimento de atividades que promovam recuperação dos conteúdos passados.”</w:t>
      </w:r>
    </w:p>
    <w:p w:rsidR="00000000" w:rsidRPr="00000000" w:rsidP="00000000" w14:paraId="0000000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Artigo 3º O Caput do Artigo 59 passa a viger com a seguinte redação:</w:t>
        <w:br/>
        <w:t>“Art. 59 Os proprietários de lotes urbanos ou rurais que se utilizem de sistemas isolados de esgotamento sanitário, e os proprietários de lotes que em conjunto se utilizem de sistemas coletivos descentralizados de tratamento de esgotos, tem o prazo de até 2 (dois) anos para registrar suas soluções de tratamento de esgoto e regularizar sua operação, adequando as instalações existentes, de forma a garantir que não haja infiltração de efluente sem tratamento no solo ou em curso d’água.”</w:t>
      </w:r>
    </w:p>
    <w:p w:rsidR="00000000" w:rsidRPr="00000000" w:rsidP="00000000" w14:paraId="0000001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4º O Artigo 102 passa a viger com a seguinte redação:</w:t>
      </w:r>
    </w:p>
    <w:p w:rsidR="00000000" w:rsidRPr="00000000" w:rsidP="00000000" w14:paraId="00000012">
      <w:pPr>
        <w:spacing w:line="360" w:lineRule="auto"/>
        <w:jc w:val="both"/>
        <w:rPr>
          <w:rFonts w:ascii="Calibri" w:eastAsia="Calibri" w:hAnsi="Calibri" w:cs="Calibri"/>
          <w:sz w:val="25"/>
          <w:szCs w:val="25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</w:t>
      </w:r>
      <w:r w:rsidRPr="00000000">
        <w:rPr>
          <w:rFonts w:ascii="Calibri" w:eastAsia="Calibri" w:hAnsi="Calibri" w:cs="Calibri"/>
          <w:sz w:val="25"/>
          <w:szCs w:val="25"/>
          <w:rtl w:val="0"/>
        </w:rPr>
        <w:t>O Poder Executivo exigirá a elaboração de estudos geotécnicos e de risco em projetos de empreendimentos habitacionais de qualquer porte, nas áreas frágeis e de risco assim definidos na Carta Geotécnica de Mogi Mirim, devendo aprovar ou rejeitar o estudo apresentado com base em justificativas técnicas”.</w:t>
      </w:r>
    </w:p>
    <w:p w:rsidR="00000000" w:rsidRPr="00000000" w:rsidP="00000000" w14:paraId="00000013">
      <w:pPr>
        <w:spacing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p w:rsidR="00000000" w:rsidRPr="00000000" w:rsidP="00000000" w14:paraId="0000001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5"/>
          <w:szCs w:val="25"/>
          <w:rtl w:val="0"/>
        </w:rPr>
        <w:t>Art. 5º O parágrafo 2º do Artigo 103 passa a viger com a seguinte redação:</w:t>
        <w:br/>
        <w:t xml:space="preserve">“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§ 2º As glebas que estiverem, no mínimo, 75% (setenta e cinco por cento) dentro da Zona de Expansão urbana, serão consideradas por inteira como zona de expansão urbana, para análise e estudos de projetos urbanísticos”.</w:t>
      </w:r>
    </w:p>
    <w:p w:rsidR="00000000" w:rsidRPr="00000000" w:rsidP="00000000" w14:paraId="0000001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6º  O Caput do Artigo 109 passa a viger com a seguinte redação:</w:t>
      </w:r>
    </w:p>
    <w:p w:rsidR="00000000" w:rsidRPr="00000000" w:rsidP="00000000" w14:paraId="0000001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Na Zona Exclusivamente Residencial é permitido o uso comercial e serviços locais, e residencial - que abrange bairros, loteamentos fechados, condomínios horizontais e verticais nos termos delimitados no Mapa Anexo, admitido o uso institucional.”</w:t>
      </w:r>
    </w:p>
    <w:p w:rsidR="00000000" w:rsidRPr="00000000" w:rsidP="00000000" w14:paraId="0000001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Parágrafo único. O parágrafo único do Artigo 109 passa a viger com a seguinte redação:</w:t>
      </w:r>
    </w:p>
    <w:p w:rsidR="00000000" w:rsidRPr="00000000" w:rsidP="00000000" w14:paraId="000000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Parágrafo único. O uso comercial e serviços locais estipulados no caput visam a atender a demandas internas das Zonas Exclusivamente Residenciais, bem como permitir a instalação e salvaguardar o funcionamento das atividades que não promovam perturbação à vizinhança.”</w:t>
      </w:r>
    </w:p>
    <w:p w:rsidR="00000000" w:rsidRPr="00000000" w:rsidP="00000000" w14:paraId="0000001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7º O inciso terceiro do Artigo 113 passa a viger com a seguinte redação:</w:t>
      </w:r>
    </w:p>
    <w:p w:rsidR="00000000" w:rsidRPr="00000000" w:rsidP="00000000" w14:paraId="0000001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III - lotes mínimos de 500m²”.</w:t>
      </w:r>
    </w:p>
    <w:p w:rsidR="00000000" w:rsidRPr="00000000" w:rsidP="00000000" w14:paraId="0000001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8º O Caput do do Artigo 116 passa a viger com a seguinte redação:</w:t>
        <w:br/>
        <w:t xml:space="preserve">“ Art. 116. A Zona de Expansão Urbana de Desenvolvimento Estratégico delimitada em Mapa Anexo, abrange as faixas lindeiras aos eixos rodoviários SP-340, SP-147, SP-191, Luz Gonzaga de Amoedo Campos, Anel Viário Jamil Bacar, compatível com a implantação de indústrias, grandes comércios e serviços diversificados, com possibilidade de infraestrutura, transporte de carga e passageiros e coleta e tratamento de resíduos.” </w:t>
      </w:r>
    </w:p>
    <w:p w:rsidR="00000000" w:rsidRPr="00000000" w:rsidP="00000000" w14:paraId="0000001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9º O parágrafo único do Artigo 124 passa a viger com a seguinte redação:</w:t>
      </w:r>
    </w:p>
    <w:p w:rsidR="00000000" w:rsidRPr="00000000" w:rsidP="00000000" w14:paraId="0000002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Parágrafo único. Em consonância aos objetivos e diretrizes do capítulo III da presente Lei, não é permitida a ocupação do solo para fins residenciais, industriais ou comerciais que coloquem em risco o abastecimento de água potável ao município, de forma a garantir a proteção ambiental da área.”</w:t>
      </w:r>
    </w:p>
    <w:p w:rsidR="00000000" w:rsidRPr="00000000" w:rsidP="00000000" w14:paraId="0000002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10 O Artigo 125 passa a viger com a seguinte redação:</w:t>
      </w:r>
    </w:p>
    <w:p w:rsidR="00000000" w:rsidRPr="00000000" w:rsidP="00000000" w14:paraId="0000002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Art. 125 Deverá ser desenvolvido e apresentado EIA-RIMA como forma de compatibilizar a proteção ambiental e a ocupação sustentável, permitido o uso do espaço para continuidade do corredor comercial junto à avenida Adib Chaib, e resguardando a área restante do zoneamento como região de preservação ambiental de amortecimento entre bairro residencial e trecho comercial.</w:t>
      </w:r>
    </w:p>
    <w:p w:rsidR="00000000" w:rsidRPr="00000000" w:rsidP="00000000" w14:paraId="0000002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11 O parágrafo segundo do Artigo 129 passa a viger com a seguinte redação:</w:t>
      </w:r>
    </w:p>
    <w:p w:rsidR="00000000" w:rsidRPr="00000000" w:rsidP="00000000" w14:paraId="0000002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</w:t>
      </w:r>
      <w:r w:rsidRPr="00000000">
        <w:rPr>
          <w:rFonts w:ascii="Calibri" w:eastAsia="Calibri" w:hAnsi="Calibri" w:cs="Calibri"/>
          <w:sz w:val="25"/>
          <w:szCs w:val="25"/>
          <w:rtl w:val="0"/>
        </w:rPr>
        <w:t>§ 2º No entorno da Voçoroca, considerado o polígono convexo dos pontos mais externos da borda, deverá ser prevista uma faixa de proteção de no mínimo 50 metros de largura e em conformidade com o Código Florestal - Lei Federal n° 12.651, de 25 de maio de 2012 e Resolução 303/2002 do CONAMA, região da qual se objetivará a formação de um parque ecológico,a fim de auxiliar na conservação ambiental e promover conscientização sobre a preservação.”</w:t>
      </w:r>
    </w:p>
    <w:p w:rsidR="00000000" w:rsidRPr="00000000" w:rsidP="00000000" w14:paraId="0000002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12 O Artigo 148 passa a viger com a seguinte redação:</w:t>
      </w:r>
    </w:p>
    <w:p w:rsidR="00000000" w:rsidRPr="00000000" w:rsidP="00000000" w14:paraId="0000002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O desdobro nos loteamentos de chácaras existentes dependerá de um estudo urbanístico e de infraestrutura pela municipalidade, caso a caso, com aprovação sujeita à análise legislativa”.</w:t>
      </w:r>
    </w:p>
    <w:p w:rsidR="00000000" w:rsidRPr="00000000" w:rsidP="00000000" w14:paraId="0000002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13 o Artigo 149 passa a viger com a seguinte redação:</w:t>
      </w:r>
    </w:p>
    <w:p w:rsidR="00000000" w:rsidRPr="00000000" w:rsidP="00000000" w14:paraId="0000002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  - “a) CA - Coeficiente de Aproveitamento máximo de 6 (seis) vezes a área do lote.”</w:t>
      </w:r>
    </w:p>
    <w:p w:rsidR="00000000" w:rsidRPr="00000000" w:rsidP="00000000" w14:paraId="0000002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II - “b) TO - Taxa de Ocupação máxima de 90% (noventa por cento)”.</w:t>
      </w:r>
    </w:p>
    <w:p w:rsidR="00000000" w:rsidRPr="00000000" w:rsidP="00000000" w14:paraId="000000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14 O Artigo 152 passa a viger com a seguinte redação:</w:t>
      </w:r>
    </w:p>
    <w:p w:rsidR="00000000" w:rsidRPr="00000000" w:rsidP="00000000" w14:paraId="0000003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 - “I - CA - Coeficiente de Aproveitamento máximo de 8 vezes a área do lote”.</w:t>
      </w:r>
    </w:p>
    <w:p w:rsidR="00000000" w:rsidRPr="00000000" w:rsidP="00000000" w14:paraId="0000003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II - “II - TO - Taxa de Ocupação Máxima de 90% (noventa por cento”.</w:t>
      </w:r>
    </w:p>
    <w:p w:rsidR="00000000" w:rsidRPr="00000000" w:rsidP="00000000" w14:paraId="0000003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III - “ IV - GA - Gabarito Máximo, pavimento térreo mais 25 pavimentos, desde que o pavimento térreo não seja utilizado para atividades habitacionais </w:t>
      </w:r>
    </w:p>
    <w:p w:rsidR="00000000" w:rsidRPr="00000000" w:rsidP="00000000" w14:paraId="0000003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15 O caput do Artigo 169 passa a viger com a seguinte redação:</w:t>
      </w:r>
    </w:p>
    <w:p w:rsidR="00000000" w:rsidRPr="00000000" w:rsidP="00000000" w14:paraId="0000003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“Art. 169 Os núcleos urbanos irregulares que contenham assentamentos habitacionais comprovadamente existentes e consolidados até 31 de dezembro de 2016, deverão ser submetidos ao procedimento de regularização fundiária de acordo com a Lei Federal 13.465/2017 e em conformidade com a presente Lei.”</w:t>
      </w:r>
    </w:p>
    <w:p w:rsidR="00000000" w:rsidRPr="00000000" w:rsidP="00000000" w14:paraId="0000003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Art.16 Renumera-se em sequência ordinária todos os artigos, parágrafos e incisos cujo ordenamento foi alterado em razão das modificações da presente emenda.</w:t>
      </w:r>
    </w:p>
    <w:p w:rsidR="00000000" w:rsidRPr="00000000" w:rsidP="00000000" w14:paraId="00000038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00335495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371153" name="image3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3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A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3B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3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D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3E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40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4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42">
      <w:pPr>
        <w:spacing w:line="360" w:lineRule="auto"/>
        <w:rPr>
          <w:rFonts w:ascii="Calibri" w:eastAsia="Calibri" w:hAnsi="Calibri" w:cs="Calibri"/>
          <w:sz w:val="24"/>
          <w:szCs w:val="24"/>
          <w:vertAlign w:val="baseline"/>
        </w:rPr>
      </w:pPr>
    </w:p>
    <w:p w:rsidR="00000000" w:rsidRPr="00000000" w:rsidP="00000000" w14:paraId="00000043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44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45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46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4784382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2488528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47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48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49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7"/>
      <w:headerReference w:type="default" r:id="rId8"/>
      <w:footerReference w:type="default" r:id="rId9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1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2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4B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C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4D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82013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4E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4F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0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ZHxg4GpQ7gsCBeNSQl/ZqeklBA==">AMUW2mVGsjJX4mf8yoZkM+LX2ca9MKA9ZXGqNwY1fTz3l7TDgR8zECF+jJtaL++NTuCaExd1DtlrYpdwQWl0z3RZEbeqnMSvlRpvRY/NyuXd7giRkNCCuRQ=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