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Emenda Modificativa N° 0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3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MODIFIQUE-SE: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Modifica-se o mapeamento do Anexo 2 - Zoneamento Urbano e Ambiental, alterando o zoneamento da região das Chácaras São Marcelo, transformando a região de Zona Predominantemente Residencial 1 (ZPR 1) para Zona Exclusivamente Residencial (ZER), no seguinte espaço: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</w:rPr>
        <w:drawing>
          <wp:inline distT="114300" distB="114300" distL="114300" distR="114300">
            <wp:extent cx="5820735" cy="4660900"/>
            <wp:effectExtent l="0" t="0" r="0" b="0"/>
            <wp:docPr id="103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09982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0735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E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66739874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506245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0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1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13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4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6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17">
      <w:pPr>
        <w:spacing w:line="360" w:lineRule="auto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1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9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1A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B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65812720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423559" name="image3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C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D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1E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8"/>
      <w:headerReference w:type="default" r:id="rId9"/>
      <w:footerReference w:type="default" r:id="rId10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0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22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82486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3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4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9DWRbQC9i9tDdQOv8H61OwDm6g==">AMUW2mWR4BA5ZwJYGbgmHqmdst8KVwlXHf63xj7i0k7oGD9tTE1i1RwtvEVtZYv1zWzKTepQ6VprQ5ZBkKdlrbBY38Q5Vjm/pCA4Hpbm1ES2FJhdrA93Uvs=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