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</w:p>
    <w:p>
      <w:pPr>
        <w:spacing w:line="360" w:lineRule="auto"/>
        <w:jc w:val="both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</w:p>
    <w:p>
      <w:pPr>
        <w:spacing w:line="360" w:lineRule="auto"/>
        <w:jc w:val="center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  <w:r>
        <w:rPr>
          <w:rFonts w:ascii="Calibri" w:eastAsia="Calibri" w:hAnsi="Calibri" w:cs="Calibri"/>
          <w:b/>
          <w:position w:val="0"/>
          <w:sz w:val="24"/>
          <w:szCs w:val="24"/>
          <w:vertAlign w:val="baseline"/>
        </w:rPr>
        <w:t xml:space="preserve">Emenda Modificativa N°   </w:t>
      </w:r>
      <w:r>
        <w:rPr>
          <w:rFonts w:ascii="Calibri" w:eastAsia="Calibri" w:hAnsi="Calibri" w:cs="Calibri"/>
          <w:b/>
          <w:sz w:val="24"/>
          <w:szCs w:val="24"/>
        </w:rPr>
        <w:t>ao Projeto de Lei Complementar nº 06/</w:t>
      </w:r>
      <w:r>
        <w:rPr>
          <w:rFonts w:ascii="Calibri" w:eastAsia="Calibri" w:hAnsi="Calibri" w:cs="Calibri"/>
          <w:b/>
          <w:position w:val="0"/>
          <w:sz w:val="24"/>
          <w:szCs w:val="24"/>
          <w:vertAlign w:val="baseline"/>
        </w:rPr>
        <w:t>2021</w:t>
      </w:r>
    </w:p>
    <w:p>
      <w:pPr>
        <w:spacing w:line="360" w:lineRule="auto"/>
        <w:jc w:val="both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</w:p>
    <w:p>
      <w:pPr>
        <w:spacing w:line="360" w:lineRule="auto"/>
        <w:jc w:val="both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  <w:r>
        <w:rPr>
          <w:rFonts w:ascii="Calibri" w:eastAsia="Calibri" w:hAnsi="Calibri" w:cs="Calibri"/>
          <w:b/>
          <w:position w:val="0"/>
          <w:sz w:val="24"/>
          <w:szCs w:val="24"/>
          <w:vertAlign w:val="baseline"/>
        </w:rPr>
        <w:t>Projeto de Lei</w:t>
      </w:r>
      <w:r>
        <w:rPr>
          <w:rFonts w:ascii="Calibri" w:eastAsia="Calibri" w:hAnsi="Calibri" w:cs="Calibri"/>
          <w:position w:val="0"/>
          <w:sz w:val="24"/>
          <w:szCs w:val="24"/>
          <w:vertAlign w:val="baseline"/>
        </w:rPr>
        <w:t xml:space="preserve"> Complementar </w:t>
      </w:r>
      <w:r>
        <w:rPr>
          <w:rFonts w:ascii="Calibri" w:eastAsia="Calibri" w:hAnsi="Calibri" w:cs="Calibri"/>
          <w:b/>
          <w:position w:val="0"/>
          <w:sz w:val="24"/>
          <w:szCs w:val="24"/>
          <w:vertAlign w:val="baseline"/>
        </w:rPr>
        <w:t xml:space="preserve">Nº </w:t>
      </w:r>
      <w:r>
        <w:rPr>
          <w:rFonts w:ascii="Calibri" w:eastAsia="Calibri" w:hAnsi="Calibri" w:cs="Calibri"/>
          <w:b/>
          <w:sz w:val="24"/>
          <w:szCs w:val="24"/>
        </w:rPr>
        <w:t>06/</w:t>
      </w:r>
      <w:r>
        <w:rPr>
          <w:rFonts w:ascii="Calibri" w:eastAsia="Calibri" w:hAnsi="Calibri" w:cs="Calibri"/>
          <w:b/>
          <w:position w:val="0"/>
          <w:sz w:val="24"/>
          <w:szCs w:val="24"/>
          <w:vertAlign w:val="baseline"/>
        </w:rPr>
        <w:t xml:space="preserve">2021 que “Dispõe sobre o Plano </w:t>
      </w:r>
      <w:r>
        <w:rPr>
          <w:rFonts w:ascii="Calibri" w:eastAsia="Calibri" w:hAnsi="Calibri" w:cs="Calibri"/>
          <w:b/>
          <w:sz w:val="24"/>
          <w:szCs w:val="24"/>
        </w:rPr>
        <w:t>Diretor do Município de Mogi Mirim</w:t>
      </w:r>
      <w:r>
        <w:rPr>
          <w:rFonts w:ascii="Calibri" w:eastAsia="Calibri" w:hAnsi="Calibri" w:cs="Calibri"/>
          <w:b/>
          <w:position w:val="0"/>
          <w:sz w:val="24"/>
          <w:szCs w:val="24"/>
          <w:vertAlign w:val="baseline"/>
        </w:rPr>
        <w:t>”.</w:t>
      </w:r>
    </w:p>
    <w:p>
      <w:pPr>
        <w:spacing w:line="360" w:lineRule="auto"/>
        <w:jc w:val="both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</w:p>
    <w:p>
      <w:pPr>
        <w:spacing w:line="360" w:lineRule="auto"/>
        <w:jc w:val="center"/>
        <w:rPr>
          <w:rFonts w:ascii="Calibri" w:eastAsia="Calibri" w:hAnsi="Calibri" w:cs="Calibri"/>
          <w:b w:val="0"/>
          <w:position w:val="0"/>
          <w:sz w:val="24"/>
          <w:szCs w:val="24"/>
          <w:u w:val="single"/>
          <w:vertAlign w:val="baseline"/>
        </w:rPr>
      </w:pPr>
      <w:r>
        <w:rPr>
          <w:rFonts w:ascii="Calibri" w:eastAsia="Calibri" w:hAnsi="Calibri" w:cs="Calibri"/>
          <w:b/>
          <w:position w:val="0"/>
          <w:sz w:val="24"/>
          <w:szCs w:val="24"/>
          <w:u w:val="single"/>
          <w:vertAlign w:val="baseline"/>
        </w:rPr>
        <w:t>MODIFIQUE-SE:</w:t>
      </w:r>
    </w:p>
    <w:p>
      <w:pPr>
        <w:spacing w:line="360" w:lineRule="auto"/>
        <w:jc w:val="both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1º O inciso II do Artigo 17 passa a viger com a seguinte redação: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“ </w:t>
      </w:r>
      <w:r>
        <w:rPr>
          <w:rFonts w:ascii="Calibri" w:eastAsia="Calibri" w:hAnsi="Calibri" w:cs="Calibri"/>
          <w:sz w:val="24"/>
          <w:szCs w:val="24"/>
        </w:rPr>
        <w:t>II - sistematizar o levantamento de dados e informações de interesse para o desenvolvimento do  turístico no Município, atualizando anualmente a coleta de informações junto ao Conselho Municipal do Turismo.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Artigo 2º O inciso II do Artigo 26 passa a viger com a seguinte redação: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“ </w:t>
      </w:r>
      <w:r>
        <w:rPr>
          <w:rFonts w:ascii="Calibri" w:eastAsia="Calibri" w:hAnsi="Calibri" w:cs="Calibri"/>
          <w:sz w:val="24"/>
          <w:szCs w:val="24"/>
        </w:rPr>
        <w:t>II - realizar a avaliação sistemática de desenvolvimento e aprendizagem dos alunos da Educação Básica, e estruturar cronogramas de aulas visando ao desenvolvimento de atividades que promovam recuperação dos conteúdos passados.”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Artigo 3º O Caput do Artigo 59 passa a viger com a seguinte redação:</w:t>
        <w:br/>
        <w:t>“Art. 59 Os proprietários de lotes urbanos ou rurais que se utilizem de sistemas isolados de esgotamento sanitário, e os proprietários de lotes que em conjunto se utilizem de sistemas coletivos descentralizados de tratamento de esgotos, tem o prazo de até 2 (dois) anos para registrar suas soluções de tratamento de esgoto e regularizar sua operação, adequando as instalações existentes, de forma a garantir que não haja infiltração de efluente sem tratamento no solo ou em curso d’água.”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4º O Artigo 102 passa a viger com a seguinte redação:</w:t>
      </w:r>
    </w:p>
    <w:p>
      <w:pPr>
        <w:spacing w:line="360" w:lineRule="auto"/>
        <w:jc w:val="both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5"/>
          <w:szCs w:val="25"/>
        </w:rPr>
        <w:t>O Poder Executivo exigirá a elaboração de estudos geotécnicos e de risco em projetos de empreendimentos habitacionais de qualquer porte, nas áreas frágeis e de risco assim definidos na Carta Geotécnica de Mogi Mirim, devendo aprovar ou rejeitar o estudo apresentado com base em justificativas técnicas”.</w:t>
      </w:r>
    </w:p>
    <w:p>
      <w:pPr>
        <w:spacing w:line="360" w:lineRule="auto"/>
        <w:jc w:val="both"/>
        <w:rPr>
          <w:rFonts w:ascii="Calibri" w:eastAsia="Calibri" w:hAnsi="Calibri" w:cs="Calibri"/>
          <w:sz w:val="25"/>
          <w:szCs w:val="25"/>
        </w:rPr>
      </w:pP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5"/>
          <w:szCs w:val="25"/>
        </w:rPr>
        <w:t>Art. 5º O parágrafo 2º do Artigo 103 passa a viger com a seguinte redação:</w:t>
        <w:br/>
        <w:t xml:space="preserve">“ </w:t>
      </w:r>
      <w:r>
        <w:rPr>
          <w:rFonts w:ascii="Calibri" w:eastAsia="Calibri" w:hAnsi="Calibri" w:cs="Calibri"/>
          <w:sz w:val="24"/>
          <w:szCs w:val="24"/>
        </w:rPr>
        <w:t>§ 2º As glebas que estiverem, no mínimo, 75% (setenta e cinco por cento) dentro da Zona de Expansão urbana, serão consideradas por inteira como zona de expansão urbana, para análise e estudos de projetos urbanísticos”.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6º  O Caput do Artigo 109 passa a viger com a seguinte redação: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“ </w:t>
      </w:r>
      <w:r>
        <w:rPr>
          <w:rFonts w:ascii="Calibri" w:eastAsia="Calibri" w:hAnsi="Calibri" w:cs="Calibri"/>
          <w:sz w:val="24"/>
          <w:szCs w:val="24"/>
        </w:rPr>
        <w:t>Na Zona Exclusivamente Residencial é permitido o uso comercial e serviços locais, e residencial - que abrange bairros, loteamentos fechados, condomínios horizontais e verticais nos termos delimitados no Mapa Anexo, admitido o uso institucional.”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Parágrafo único. O parágrafo único do Artigo 109 passa a viger com a seguinte redação: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>Parágrafo único. Será permitido apenas novas atividades não residenciais nesse zoneamento, desde que essas atividades sejam classificadas como de profissionais individuais, sem produção de resíduo, ruido, perturbação à vizinhança ou poluidora ao meio ambiente e outras que descaracterizem o zoneamento exclusivamente residencial, ressalvados os direitos adquiridos daqueles já existentes e regularizados, inclusive quanto às eventuais e futuras ampliações.”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7º O inciso terceiro do Artigo 113 passa a viger com a seguinte redação: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“ </w:t>
      </w:r>
      <w:r>
        <w:rPr>
          <w:rFonts w:ascii="Calibri" w:eastAsia="Calibri" w:hAnsi="Calibri" w:cs="Calibri"/>
          <w:sz w:val="24"/>
          <w:szCs w:val="24"/>
        </w:rPr>
        <w:t>III - lotes mínimos de 500m²”.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8º O Caput do do Artigo 116 passa a viger com a seguinte redação:</w:t>
        <w:br/>
        <w:t xml:space="preserve">“ Art. 116. A Zona de Expansão Urbana de Desenvolvimento Estratégico delimitada em Mapa Anexo, abrange as faixas lindeiras aos eixos rodoviários SP-340, SP-147, SP-191, Luz Gonzaga de Amoedo Campos, Anel Viário Jamil Bacar, compatível com a implantação de indústrias, grandes comércios e serviços diversificados, com possibilidade de infraestrutura, transporte de carga e passageiros e coleta e tratamento de resíduos.” 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9º O parágrafo único do Artigo 124 passa a viger com a seguinte redação: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“ </w:t>
      </w:r>
      <w:r>
        <w:rPr>
          <w:rFonts w:ascii="Calibri" w:eastAsia="Calibri" w:hAnsi="Calibri" w:cs="Calibri"/>
          <w:sz w:val="24"/>
          <w:szCs w:val="24"/>
        </w:rPr>
        <w:t>Parágrafo único. Em consonância aos objetivos e diretrizes do capítulo III da presente Lei, não é permitida a ocupação do solo para fins residenciais, industriais ou comerciais que coloquem em risco o abastecimento de água potável ao município, de forma a garantir a proteção ambiental da área.”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10 O Artigo 125 passa a viger com a seguinte redação: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“ </w:t>
      </w:r>
      <w:r>
        <w:rPr>
          <w:rFonts w:ascii="Calibri" w:eastAsia="Calibri" w:hAnsi="Calibri" w:cs="Calibri"/>
          <w:sz w:val="24"/>
          <w:szCs w:val="24"/>
        </w:rPr>
        <w:t>Art. 125 Deverá ser desenvolvido e apresentado EIA-RIMA como forma de compatibilizar a proteção ambiental e a ocupação sustentável, permitido o uso do espaço para continuidade do corredor comercial junto à avenida Adib Chaib, e resguardando a área restante do zoneamento como região de preservação ambiental de amortecimento entre bairro residencial e trecho comercial.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11 O parágrafo segundo do Artigo 129 passa a viger com a seguinte redação: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5"/>
          <w:szCs w:val="25"/>
        </w:rPr>
        <w:t>§ 2º No entorno da Voçoroca, considerado o polígono convexo dos pontos mais externos da borda, deverá ser prevista uma faixa de proteção de no mínimo 50 metros de largura e em conformidade com o Código Florestal - Lei Federal n° 12.651, de 25 de maio de 2012 e Resolução 303/2002 do CONAMA, região da qual se objetivará a formação de um parque ecológico,a fim de auxiliar na conservação ambiental e promover conscientização sobre a preservação.”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12 O Artigo 148 passa a viger com a seguinte redação: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“ </w:t>
      </w:r>
      <w:r>
        <w:rPr>
          <w:rFonts w:ascii="Calibri" w:eastAsia="Calibri" w:hAnsi="Calibri" w:cs="Calibri"/>
          <w:sz w:val="24"/>
          <w:szCs w:val="24"/>
        </w:rPr>
        <w:t>O desdobro nos loteamentos de chácaras existentes dependerá de um estudo urbanístico e de infraestrutura pela municipalidade, caso a caso, com aprovação sujeita à análise legislativa”.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13 o Artigo 149 passa a viger com a seguinte redação: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 - “a) CA - Coeficiente de Aproveitamento máximo de 6 (seis) vezes a área do lote.”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“b) TO - Taxa de Ocupação máxima de 90% (noventa por cento)”.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14 O Artigo 152 passa a viger com a seguinte redação: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- “I - CA - Coeficiente de Aproveitamento máximo de 8 vezes a área do lote”.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 - “II - TO - Taxa de Ocupação Máxima de 90% (noventa por cento”.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III - “ IV - GA - Gabarito Máximo, pavimento térreo mais 25 pavimentos, desde que o pavimento térreo não seja utilizado para atividades habitacionais 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 15 O caput do Artigo 169 passa a viger com a seguinte redação: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>Art. 169 Os núcleos urbanos irregulares que contenham assentamentos habitacionais comprovadamente existentes e consolidados até 31 de dezembro de 2016, deverão ser submetidos ao procedimento de regularização fundiária de acordo com a Lei Federal 13.465/2017 e em conformidade com a presente Lei.”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Art.16 Renumera-se em sequência ordinária todos os artigos, parágrafos e incisos cujo ordenamento foi alterado em razão das modificações da presente emenda.</w:t>
      </w:r>
    </w:p>
    <w:p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mc:AlternateContent>
          <mc:Choice Requires="wps">
            <w:drawing>
              <wp:inline distT="0" distB="0" distL="0" distR="0">
                <wp:extent cx="1894205" cy="98552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94320" cy="98568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033" w="158049" stroke="1">
                              <a:moveTo>
                                <a:pt x="29437" y="44784"/>
                              </a:moveTo>
                              <a:cubicBezTo>
                                <a:pt x="28097" y="39154"/>
                                <a:pt x="26490" y="30600"/>
                                <a:pt x="31398" y="27532"/>
                              </a:cubicBezTo>
                              <a:cubicBezTo>
                                <a:pt x="43506" y="19963"/>
                                <a:pt x="65596" y="23650"/>
                                <a:pt x="70609" y="10279"/>
                              </a:cubicBezTo>
                              <a:cubicBezTo>
                                <a:pt x="72297" y="5776"/>
                                <a:pt x="64647" y="1797"/>
                                <a:pt x="60022" y="476"/>
                              </a:cubicBezTo>
                              <a:cubicBezTo>
                                <a:pt x="55004" y="-957"/>
                                <a:pt x="47297" y="1454"/>
                                <a:pt x="45514" y="6358"/>
                              </a:cubicBezTo>
                              <a:cubicBezTo>
                                <a:pt x="42430" y="14842"/>
                                <a:pt x="43618" y="24415"/>
                                <a:pt x="44338" y="33413"/>
                              </a:cubicBezTo>
                              <a:cubicBezTo>
                                <a:pt x="45502" y="47974"/>
                                <a:pt x="52298" y="62613"/>
                                <a:pt x="49435" y="76937"/>
                              </a:cubicBezTo>
                              <a:cubicBezTo>
                                <a:pt x="48706" y="80585"/>
                                <a:pt x="42510" y="79815"/>
                                <a:pt x="38848" y="80466"/>
                              </a:cubicBezTo>
                              <a:cubicBezTo>
                                <a:pt x="31122" y="81839"/>
                                <a:pt x="22230" y="83403"/>
                                <a:pt x="15321" y="79682"/>
                              </a:cubicBezTo>
                              <a:cubicBezTo>
                                <a:pt x="8366" y="75936"/>
                                <a:pt x="2134" y="68965"/>
                                <a:pt x="421" y="61253"/>
                              </a:cubicBezTo>
                              <a:cubicBezTo>
                                <a:pt x="-2083" y="49984"/>
                                <a:pt x="8539" y="37972"/>
                                <a:pt x="18066" y="31453"/>
                              </a:cubicBezTo>
                              <a:cubicBezTo>
                                <a:pt x="32668" y="21462"/>
                                <a:pt x="52188" y="21100"/>
                                <a:pt x="69825" y="19689"/>
                              </a:cubicBezTo>
                              <a:cubicBezTo>
                                <a:pt x="85941" y="18400"/>
                                <a:pt x="109651" y="16991"/>
                                <a:pt x="116878" y="31453"/>
                              </a:cubicBezTo>
                              <a:cubicBezTo>
                                <a:pt x="121008" y="39717"/>
                                <a:pt x="113765" y="53303"/>
                                <a:pt x="105115" y="56548"/>
                              </a:cubicBezTo>
                              <a:cubicBezTo>
                                <a:pt x="89603" y="62366"/>
                                <a:pt x="70149" y="57094"/>
                                <a:pt x="56101" y="48313"/>
                              </a:cubicBezTo>
                              <a:cubicBezTo>
                                <a:pt x="52653" y="46158"/>
                                <a:pt x="50351" y="42561"/>
                                <a:pt x="47474" y="39687"/>
                              </a:cubicBezTo>
                              <a:cubicBezTo>
                                <a:pt x="44678" y="36895"/>
                                <a:pt x="50508" y="31442"/>
                                <a:pt x="54140" y="29884"/>
                              </a:cubicBezTo>
                              <a:cubicBezTo>
                                <a:pt x="57607" y="28397"/>
                                <a:pt x="48137" y="38962"/>
                                <a:pt x="51395" y="40863"/>
                              </a:cubicBezTo>
                              <a:cubicBezTo>
                                <a:pt x="57183" y="44239"/>
                                <a:pt x="73215" y="39797"/>
                                <a:pt x="70217" y="33805"/>
                              </a:cubicBezTo>
                              <a:cubicBezTo>
                                <a:pt x="68198" y="29769"/>
                                <a:pt x="61009" y="29621"/>
                                <a:pt x="56885" y="31453"/>
                              </a:cubicBezTo>
                              <a:cubicBezTo>
                                <a:pt x="55333" y="32143"/>
                                <a:pt x="54117" y="32981"/>
                                <a:pt x="54140" y="33021"/>
                              </a:cubicBezTo>
                              <a:cubicBezTo>
                                <a:pt x="57402" y="38728"/>
                                <a:pt x="66726" y="40982"/>
                                <a:pt x="72962" y="38903"/>
                              </a:cubicBezTo>
                              <a:cubicBezTo>
                                <a:pt x="75518" y="38051"/>
                                <a:pt x="78056" y="37074"/>
                                <a:pt x="80412" y="35766"/>
                              </a:cubicBezTo>
                              <a:cubicBezTo>
                                <a:pt x="81304" y="35270"/>
                                <a:pt x="83785" y="33805"/>
                                <a:pt x="82764" y="33805"/>
                              </a:cubicBezTo>
                              <a:cubicBezTo>
                                <a:pt x="78789" y="33805"/>
                                <a:pt x="71350" y="40047"/>
                                <a:pt x="74530" y="42432"/>
                              </a:cubicBezTo>
                              <a:cubicBezTo>
                                <a:pt x="77152" y="44399"/>
                                <a:pt x="81605" y="45033"/>
                                <a:pt x="84333" y="43216"/>
                              </a:cubicBezTo>
                              <a:cubicBezTo>
                                <a:pt x="86511" y="41765"/>
                                <a:pt x="85293" y="32819"/>
                                <a:pt x="84725" y="35374"/>
                              </a:cubicBezTo>
                              <a:cubicBezTo>
                                <a:pt x="84296" y="37305"/>
                                <a:pt x="83863" y="40158"/>
                                <a:pt x="85509" y="41255"/>
                              </a:cubicBezTo>
                              <a:cubicBezTo>
                                <a:pt x="88038" y="42941"/>
                                <a:pt x="91455" y="39336"/>
                                <a:pt x="93743" y="37334"/>
                              </a:cubicBezTo>
                              <a:cubicBezTo>
                                <a:pt x="94668" y="36524"/>
                                <a:pt x="97272" y="35334"/>
                                <a:pt x="97272" y="34982"/>
                              </a:cubicBezTo>
                              <a:cubicBezTo>
                                <a:pt x="97272" y="31561"/>
                                <a:pt x="87795" y="40013"/>
                                <a:pt x="90214" y="42432"/>
                              </a:cubicBezTo>
                              <a:cubicBezTo>
                                <a:pt x="95908" y="48126"/>
                                <a:pt x="112417" y="44885"/>
                                <a:pt x="113741" y="36942"/>
                              </a:cubicBezTo>
                              <a:cubicBezTo>
                                <a:pt x="114862" y="30218"/>
                                <a:pt x="99660" y="32793"/>
                                <a:pt x="93351" y="35374"/>
                              </a:cubicBezTo>
                              <a:cubicBezTo>
                                <a:pt x="92043" y="35909"/>
                                <a:pt x="88822" y="36727"/>
                                <a:pt x="89822" y="37726"/>
                              </a:cubicBezTo>
                              <a:cubicBezTo>
                                <a:pt x="93429" y="41330"/>
                                <a:pt x="100095" y="38230"/>
                                <a:pt x="105115" y="37334"/>
                              </a:cubicBezTo>
                              <a:cubicBezTo>
                                <a:pt x="123466" y="34057"/>
                                <a:pt x="140365" y="25192"/>
                                <a:pt x="158049" y="192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Forma1" o:spid="_x0000_i1025" style="width:149.15pt;height:77.6pt;mso-wrap-distance-bottom:0;mso-wrap-distance-left:0;mso-wrap-distance-right:0;mso-wrap-distance-top:0;v-text-anchor:top" coordsize="21600,21600" path="m4023,11792c3840,10310,3620,8057,4291,7249l4291,7249c5946,5256,8965,6227,9650,2707l9650,2707c9881,1521,8835,473,8203,125l8203,125c7517,-252,6464,383,6220,1674l6220,1674c5799,3908,5961,6429,6060,8798l6060,8798c6219,12632,7147,16487,6756,20258l6756,20258c6656,21219,5810,21016,5309,21187l5309,21187c4253,21549,3038,21961,2094,20981l2094,20981c1143,19995,292,18159,58,16128l58,16128c-285,13161,1167,9998,2469,8282l2469,8282c4465,5651,7132,5556,9543,5184l9543,5184c11745,4845,14986,4474,15973,8282l15973,8282c16538,10458,15548,14035,14366,14890l14366,14890c12246,16422,9587,15033,7667,12721l7667,12721c7196,12154,6881,11207,6488,10450l6488,10450c6106,9715,6903,8279,7399,7869l7399,7869c7873,7477,6579,10259,7024,10760l7024,10760c7815,11649,10006,10479,9596,8901l9596,8901c9320,7838,8338,7799,7774,8282l7774,8282c7562,8464,7396,8684,7399,8695l7399,8695c7845,10197,9119,10791,9971,10243l9971,10243c10321,10019,10668,9762,10990,9417l10990,9417c11112,9287,11451,8901,11311,8901l11311,8901c10768,8901,9751,10545,10186,11173l10186,11173c10544,11691,11153,11858,11525,11379l11525,11379c11823,10997,11657,8642,11579,9314l11579,9314c11520,9823,11461,10574,11686,10863l11686,10863c12032,11307,12499,10358,12812,9830l12812,9830c12938,9617,13294,9304,13294,9211l13294,9211c13294,8310,11999,10536,12329,11173l12329,11173c13107,12672,15364,11819,15545,9727l15545,9727c15698,7957,13620,8635,12758,9314l12758,9314c12579,9455,12139,9671,12276,9934l12276,9934c12769,10883,13680,10066,14366,9830l14366,9830c16874,8968,19183,6633,21600,5081e" filled="f" fillcolor="this" stroked="t" strokecolor="black" strokeweight="0.75pt">
                <v:stroke joinstyle="round"/>
                <w10:anchorlock/>
              </v:shape>
            </w:pict>
          </mc:Fallback>
        </mc:AlternateConten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_______________________________________</w:t>
      </w:r>
    </w:p>
    <w:p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Vereador João Victor Gasparini</w:t>
      </w:r>
    </w:p>
    <w:p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position w:val="0"/>
          <w:sz w:val="24"/>
          <w:szCs w:val="24"/>
          <w:u w:val="single"/>
          <w:vertAlign w:val="baseline"/>
        </w:rPr>
        <w:t>Justificativa:</w:t>
      </w:r>
    </w:p>
    <w:p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Plano Diretor é a Lei máxima de um Município. O futuro da cidade se encontra na análise deste projeto e é preciso que a letra da lei esteja consonante aos desejos e anseios de um desenvolvimento social, econômico e ambiental ao município, de forma equânime e democrática a todos os cidadãos. Portanto, ajustando a presente proposta, são apresentadas as seguintes modificações. </w:t>
      </w:r>
    </w:p>
    <w:p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Confiante na disposição desta Casa para promover e garantir esses avanços, conto com o apoio dos nobres pares na aprovação desta emenda.</w:t>
      </w:r>
    </w:p>
    <w:p>
      <w:pPr>
        <w:spacing w:line="360" w:lineRule="auto"/>
        <w:rPr>
          <w:rFonts w:ascii="Calibri" w:eastAsia="Calibri" w:hAnsi="Calibri" w:cs="Calibri"/>
          <w:position w:val="0"/>
          <w:sz w:val="24"/>
          <w:szCs w:val="24"/>
          <w:vertAlign w:val="baseline"/>
        </w:rPr>
      </w:pPr>
    </w:p>
    <w:p>
      <w:pPr>
        <w:spacing w:line="360" w:lineRule="auto"/>
        <w:jc w:val="both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</w:p>
    <w:p>
      <w:pPr>
        <w:jc w:val="center"/>
        <w:rPr>
          <w:rFonts w:ascii="Calibri" w:eastAsia="Calibri" w:hAnsi="Calibri" w:cs="Calibri"/>
          <w:position w:val="0"/>
          <w:sz w:val="24"/>
          <w:szCs w:val="24"/>
          <w:vertAlign w:val="baseline"/>
        </w:rPr>
      </w:pPr>
      <w:r>
        <w:rPr>
          <w:rFonts w:ascii="Calibri" w:eastAsia="Calibri" w:hAnsi="Calibri" w:cs="Calibri"/>
          <w:position w:val="0"/>
          <w:sz w:val="24"/>
          <w:szCs w:val="24"/>
          <w:vertAlign w:val="baseline"/>
        </w:rPr>
        <w:t>SALA DAS SESSÕES “VEREADOR SANTO RÓTOLLI”, em 2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position w:val="0"/>
          <w:sz w:val="24"/>
          <w:szCs w:val="24"/>
          <w:vertAlign w:val="baseline"/>
        </w:rPr>
        <w:t xml:space="preserve"> de </w:t>
      </w:r>
      <w:r>
        <w:rPr>
          <w:rFonts w:ascii="Calibri" w:eastAsia="Calibri" w:hAnsi="Calibri" w:cs="Calibri"/>
          <w:sz w:val="24"/>
          <w:szCs w:val="24"/>
        </w:rPr>
        <w:t>fevereiro</w:t>
      </w:r>
      <w:r>
        <w:rPr>
          <w:rFonts w:ascii="Calibri" w:eastAsia="Calibri" w:hAnsi="Calibri" w:cs="Calibri"/>
          <w:position w:val="0"/>
          <w:sz w:val="24"/>
          <w:szCs w:val="24"/>
          <w:vertAlign w:val="baseline"/>
        </w:rPr>
        <w:t xml:space="preserve"> de 202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position w:val="0"/>
          <w:sz w:val="24"/>
          <w:szCs w:val="24"/>
          <w:vertAlign w:val="baseline"/>
        </w:rPr>
        <w:t>.</w:t>
      </w:r>
    </w:p>
    <w:p>
      <w:pPr>
        <w:jc w:val="both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</w:p>
    <w:p>
      <w:pPr>
        <w:spacing w:line="360" w:lineRule="auto"/>
        <w:jc w:val="center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  <w:r>
        <mc:AlternateContent>
          <mc:Choice Requires="wps">
            <w:drawing>
              <wp:inline distT="0" distB="0" distL="0" distR="0">
                <wp:extent cx="1894205" cy="98552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94320" cy="98568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033" w="158049" stroke="1">
                              <a:moveTo>
                                <a:pt x="29437" y="44784"/>
                              </a:moveTo>
                              <a:cubicBezTo>
                                <a:pt x="28097" y="39154"/>
                                <a:pt x="26490" y="30600"/>
                                <a:pt x="31398" y="27532"/>
                              </a:cubicBezTo>
                              <a:cubicBezTo>
                                <a:pt x="43506" y="19963"/>
                                <a:pt x="65596" y="23650"/>
                                <a:pt x="70609" y="10279"/>
                              </a:cubicBezTo>
                              <a:cubicBezTo>
                                <a:pt x="72297" y="5776"/>
                                <a:pt x="64647" y="1797"/>
                                <a:pt x="60022" y="476"/>
                              </a:cubicBezTo>
                              <a:cubicBezTo>
                                <a:pt x="55004" y="-957"/>
                                <a:pt x="47297" y="1454"/>
                                <a:pt x="45514" y="6358"/>
                              </a:cubicBezTo>
                              <a:cubicBezTo>
                                <a:pt x="42430" y="14842"/>
                                <a:pt x="43618" y="24415"/>
                                <a:pt x="44338" y="33413"/>
                              </a:cubicBezTo>
                              <a:cubicBezTo>
                                <a:pt x="45502" y="47974"/>
                                <a:pt x="52298" y="62613"/>
                                <a:pt x="49435" y="76937"/>
                              </a:cubicBezTo>
                              <a:cubicBezTo>
                                <a:pt x="48706" y="80585"/>
                                <a:pt x="42510" y="79815"/>
                                <a:pt x="38848" y="80466"/>
                              </a:cubicBezTo>
                              <a:cubicBezTo>
                                <a:pt x="31122" y="81839"/>
                                <a:pt x="22230" y="83403"/>
                                <a:pt x="15321" y="79682"/>
                              </a:cubicBezTo>
                              <a:cubicBezTo>
                                <a:pt x="8366" y="75936"/>
                                <a:pt x="2134" y="68965"/>
                                <a:pt x="421" y="61253"/>
                              </a:cubicBezTo>
                              <a:cubicBezTo>
                                <a:pt x="-2083" y="49984"/>
                                <a:pt x="8539" y="37972"/>
                                <a:pt x="18066" y="31453"/>
                              </a:cubicBezTo>
                              <a:cubicBezTo>
                                <a:pt x="32668" y="21462"/>
                                <a:pt x="52188" y="21100"/>
                                <a:pt x="69825" y="19689"/>
                              </a:cubicBezTo>
                              <a:cubicBezTo>
                                <a:pt x="85941" y="18400"/>
                                <a:pt x="109651" y="16991"/>
                                <a:pt x="116878" y="31453"/>
                              </a:cubicBezTo>
                              <a:cubicBezTo>
                                <a:pt x="121008" y="39717"/>
                                <a:pt x="113765" y="53303"/>
                                <a:pt x="105115" y="56548"/>
                              </a:cubicBezTo>
                              <a:cubicBezTo>
                                <a:pt x="89603" y="62366"/>
                                <a:pt x="70149" y="57094"/>
                                <a:pt x="56101" y="48313"/>
                              </a:cubicBezTo>
                              <a:cubicBezTo>
                                <a:pt x="52653" y="46158"/>
                                <a:pt x="50351" y="42561"/>
                                <a:pt x="47474" y="39687"/>
                              </a:cubicBezTo>
                              <a:cubicBezTo>
                                <a:pt x="44678" y="36895"/>
                                <a:pt x="50508" y="31442"/>
                                <a:pt x="54140" y="29884"/>
                              </a:cubicBezTo>
                              <a:cubicBezTo>
                                <a:pt x="57607" y="28397"/>
                                <a:pt x="48137" y="38962"/>
                                <a:pt x="51395" y="40863"/>
                              </a:cubicBezTo>
                              <a:cubicBezTo>
                                <a:pt x="57183" y="44239"/>
                                <a:pt x="73215" y="39797"/>
                                <a:pt x="70217" y="33805"/>
                              </a:cubicBezTo>
                              <a:cubicBezTo>
                                <a:pt x="68198" y="29769"/>
                                <a:pt x="61009" y="29621"/>
                                <a:pt x="56885" y="31453"/>
                              </a:cubicBezTo>
                              <a:cubicBezTo>
                                <a:pt x="55333" y="32143"/>
                                <a:pt x="54117" y="32981"/>
                                <a:pt x="54140" y="33021"/>
                              </a:cubicBezTo>
                              <a:cubicBezTo>
                                <a:pt x="57402" y="38728"/>
                                <a:pt x="66726" y="40982"/>
                                <a:pt x="72962" y="38903"/>
                              </a:cubicBezTo>
                              <a:cubicBezTo>
                                <a:pt x="75518" y="38051"/>
                                <a:pt x="78056" y="37074"/>
                                <a:pt x="80412" y="35766"/>
                              </a:cubicBezTo>
                              <a:cubicBezTo>
                                <a:pt x="81304" y="35270"/>
                                <a:pt x="83785" y="33805"/>
                                <a:pt x="82764" y="33805"/>
                              </a:cubicBezTo>
                              <a:cubicBezTo>
                                <a:pt x="78789" y="33805"/>
                                <a:pt x="71350" y="40047"/>
                                <a:pt x="74530" y="42432"/>
                              </a:cubicBezTo>
                              <a:cubicBezTo>
                                <a:pt x="77152" y="44399"/>
                                <a:pt x="81605" y="45033"/>
                                <a:pt x="84333" y="43216"/>
                              </a:cubicBezTo>
                              <a:cubicBezTo>
                                <a:pt x="86511" y="41765"/>
                                <a:pt x="85293" y="32819"/>
                                <a:pt x="84725" y="35374"/>
                              </a:cubicBezTo>
                              <a:cubicBezTo>
                                <a:pt x="84296" y="37305"/>
                                <a:pt x="83863" y="40158"/>
                                <a:pt x="85509" y="41255"/>
                              </a:cubicBezTo>
                              <a:cubicBezTo>
                                <a:pt x="88038" y="42941"/>
                                <a:pt x="91455" y="39336"/>
                                <a:pt x="93743" y="37334"/>
                              </a:cubicBezTo>
                              <a:cubicBezTo>
                                <a:pt x="94668" y="36524"/>
                                <a:pt x="97272" y="35334"/>
                                <a:pt x="97272" y="34982"/>
                              </a:cubicBezTo>
                              <a:cubicBezTo>
                                <a:pt x="97272" y="31561"/>
                                <a:pt x="87795" y="40013"/>
                                <a:pt x="90214" y="42432"/>
                              </a:cubicBezTo>
                              <a:cubicBezTo>
                                <a:pt x="95908" y="48126"/>
                                <a:pt x="112417" y="44885"/>
                                <a:pt x="113741" y="36942"/>
                              </a:cubicBezTo>
                              <a:cubicBezTo>
                                <a:pt x="114862" y="30218"/>
                                <a:pt x="99660" y="32793"/>
                                <a:pt x="93351" y="35374"/>
                              </a:cubicBezTo>
                              <a:cubicBezTo>
                                <a:pt x="92043" y="35909"/>
                                <a:pt x="88822" y="36727"/>
                                <a:pt x="89822" y="37726"/>
                              </a:cubicBezTo>
                              <a:cubicBezTo>
                                <a:pt x="93429" y="41330"/>
                                <a:pt x="100095" y="38230"/>
                                <a:pt x="105115" y="37334"/>
                              </a:cubicBezTo>
                              <a:cubicBezTo>
                                <a:pt x="123466" y="34057"/>
                                <a:pt x="140365" y="25192"/>
                                <a:pt x="158049" y="192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Forma2" o:spid="_x0000_i1026" style="width:149.15pt;height:77.6pt;mso-wrap-distance-bottom:0;mso-wrap-distance-left:0;mso-wrap-distance-right:0;mso-wrap-distance-top:0;v-text-anchor:top" coordsize="21600,21600" path="m4023,11792c3840,10310,3620,8057,4291,7249l4291,7249c5946,5256,8965,6227,9650,2707l9650,2707c9881,1521,8835,473,8203,125l8203,125c7517,-252,6464,383,6220,1674l6220,1674c5799,3908,5961,6429,6060,8798l6060,8798c6219,12632,7147,16487,6756,20258l6756,20258c6656,21219,5810,21016,5309,21187l5309,21187c4253,21549,3038,21961,2094,20981l2094,20981c1143,19995,292,18159,58,16128l58,16128c-285,13161,1167,9998,2469,8282l2469,8282c4465,5651,7132,5556,9543,5184l9543,5184c11745,4845,14986,4474,15973,8282l15973,8282c16538,10458,15548,14035,14366,14890l14366,14890c12246,16422,9587,15033,7667,12721l7667,12721c7196,12154,6881,11207,6488,10450l6488,10450c6106,9715,6903,8279,7399,7869l7399,7869c7873,7477,6579,10259,7024,10760l7024,10760c7815,11649,10006,10479,9596,8901l9596,8901c9320,7838,8338,7799,7774,8282l7774,8282c7562,8464,7396,8684,7399,8695l7399,8695c7845,10197,9119,10791,9971,10243l9971,10243c10321,10019,10668,9762,10990,9417l10990,9417c11112,9287,11451,8901,11311,8901l11311,8901c10768,8901,9751,10545,10186,11173l10186,11173c10544,11691,11153,11858,11525,11379l11525,11379c11823,10997,11657,8642,11579,9314l11579,9314c11520,9823,11461,10574,11686,10863l11686,10863c12032,11307,12499,10358,12812,9830l12812,9830c12938,9617,13294,9304,13294,9211l13294,9211c13294,8310,11999,10536,12329,11173l12329,11173c13107,12672,15364,11819,15545,9727l15545,9727c15698,7957,13620,8635,12758,9314l12758,9314c12579,9455,12139,9671,12276,9934l12276,9934c12769,10883,13680,10066,14366,9830l14366,9830c16874,8968,19183,6633,21600,5081e" filled="f" fillcolor="this" stroked="t" strokecolor="black" strokeweight="0.75pt">
                <v:stroke joinstyle="round"/>
                <w10:anchorlock/>
              </v:shape>
            </w:pict>
          </mc:Fallback>
        </mc:AlternateContent>
      </w:r>
    </w:p>
    <w:p>
      <w:pPr>
        <w:jc w:val="both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</w:p>
    <w:p>
      <w:pPr>
        <w:spacing w:line="360" w:lineRule="auto"/>
        <w:jc w:val="center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  <w:r>
        <w:rPr>
          <w:rFonts w:ascii="Calibri" w:eastAsia="Calibri" w:hAnsi="Calibri" w:cs="Calibri"/>
          <w:b/>
          <w:position w:val="0"/>
          <w:sz w:val="24"/>
          <w:szCs w:val="24"/>
          <w:vertAlign w:val="baseline"/>
        </w:rPr>
        <w:t>_______________________________________</w:t>
      </w:r>
    </w:p>
    <w:p>
      <w:pPr>
        <w:spacing w:line="360" w:lineRule="auto"/>
        <w:jc w:val="center"/>
        <w:rPr>
          <w:rFonts w:ascii="Calibri" w:eastAsia="Calibri" w:hAnsi="Calibri" w:cs="Calibri"/>
          <w:b w:val="0"/>
          <w:position w:val="0"/>
          <w:sz w:val="24"/>
          <w:szCs w:val="24"/>
          <w:vertAlign w:val="baseline"/>
        </w:rPr>
      </w:pPr>
      <w:r>
        <w:rPr>
          <w:rFonts w:ascii="Calibri" w:eastAsia="Calibri" w:hAnsi="Calibri" w:cs="Calibri"/>
          <w:b/>
          <w:position w:val="0"/>
          <w:sz w:val="24"/>
          <w:szCs w:val="24"/>
          <w:vertAlign w:val="baseline"/>
        </w:rPr>
        <w:t>Vereador João Victor Gasparini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fldChar w:fldCharType="begin"/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instrText xml:space="preserve"> PAGE </w:instrText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fldChar w:fldCharType="separate"/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t>5</w:t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fldChar w:fldCharType="end"/>
    </w:r>
  </w:p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fldChar w:fldCharType="begin"/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instrText xml:space="preserve"> PAGE </w:instrText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fldChar w:fldCharType="separate"/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t>0</w:t>
    </w: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  <w:fldChar w:fldCharType="end"/>
    </w:r>
  </w:p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</w:p>
  <w:p>
    <w:pPr>
      <w:ind w:right="360" w:firstLine="0"/>
      <w:rPr>
        <w:position w:val="0"/>
        <w:sz w:val="20"/>
        <w:vertAlign w:val="baseline"/>
      </w:rPr>
    </w:pPr>
    <w:r>
      <w:drawing>
        <wp:inline distT="0" distB="0" distL="0" distR="0">
          <wp:extent cx="1036955" cy="751840"/>
          <wp:effectExtent l="0" t="0" r="0" b="0"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648329" name="image1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</w:p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t>CÂMARA MUNICIPAL DE MOGI MIRIM</w:t>
    </w:r>
  </w:p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</w:p>
  <w:p>
    <w:pPr>
      <w:ind w:right="360" w:firstLine="0"/>
      <w:rPr>
        <w:position w:val="0"/>
        <w:sz w:val="20"/>
        <w:vertAlign w:val="baseline"/>
      </w:rPr>
    </w:pPr>
    <w:r>
      <w:drawing>
        <wp:inline distT="0" distB="0" distL="0" distR="0">
          <wp:extent cx="1036955" cy="751840"/>
          <wp:effectExtent l="0" t="0" r="0" b="0"/>
          <wp:docPr id="4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49872" name="image1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</w:p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</w:pP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34"/>
        <w:szCs w:val="34"/>
        <w:u w:val="none"/>
        <w:shd w:val="clear" w:color="auto" w:fill="auto"/>
        <w:vertAlign w:val="baseline"/>
      </w:rPr>
      <w:t>CÂMARA MUNICIPAL DE MOGI MIRIM</w:t>
    </w:r>
  </w:p>
  <w:p>
    <w:pPr>
      <w:keepNext w:val="0"/>
      <w:keepLines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ascii="Arial" w:eastAsia="Arial" w:hAnsi="Arial" w:cs="Arial"/>
        <w:b/>
        <w:i w:val="0"/>
        <w:caps w:val="0"/>
        <w:smallCaps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tblPr/>
  </w:style>
  <w:style w:type="paragraph" w:customStyle="1" w:styleId="Heading1">
    <w:name w:val="Heading 1"/>
    <w:basedOn w:val="Normal00"/>
    <w:next w:val="Normal00"/>
    <w:qFormat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">
    <w:name w:val="Heading 2"/>
    <w:basedOn w:val="Normal00"/>
    <w:next w:val="Normal00"/>
    <w:qFormat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00"/>
    <w:next w:val="Normal00"/>
    <w:qFormat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00"/>
    <w:next w:val="Normal00"/>
    <w:qFormat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00"/>
    <w:next w:val="Normal00"/>
    <w:qFormat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basedOn w:val="Normal00"/>
    <w:next w:val="Normal00"/>
    <w:qFormat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customStyle="1" w:styleId="Fontepargpadro">
    <w:name w:val="Fonte parág. padrão"/>
    <w:qFormat/>
    <w:rPr>
      <w:w w:val="100"/>
      <w:position w:val="0"/>
      <w:sz w:val="20"/>
      <w:effect w:val="none"/>
      <w:vertAlign w:val="baseline"/>
      <w:lang w:val="x-none"/>
    </w:rPr>
  </w:style>
  <w:style w:type="character" w:customStyle="1" w:styleId="Nmerodepgina">
    <w:name w:val="Número de página"/>
    <w:basedOn w:val="Fontepargpadro"/>
    <w:rPr>
      <w:w w:val="100"/>
      <w:position w:val="0"/>
      <w:sz w:val="20"/>
      <w:effect w:val="none"/>
      <w:vertAlign w:val="baseline"/>
      <w:lang w:val="x-none"/>
    </w:rPr>
  </w:style>
  <w:style w:type="character" w:customStyle="1" w:styleId="RodapChar">
    <w:name w:val="Rodapé Char"/>
    <w:basedOn w:val="Fontepargpadro"/>
    <w:qFormat/>
    <w:rPr>
      <w:w w:val="100"/>
      <w:position w:val="0"/>
      <w:sz w:val="20"/>
      <w:effect w:val="none"/>
      <w:vertAlign w:val="baseline"/>
      <w:lang w:val="x-none"/>
    </w:rPr>
  </w:style>
  <w:style w:type="character" w:customStyle="1" w:styleId="TextodebaloChar">
    <w:name w:val="Texto de balão Char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lang w:val="x-non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00"/>
    <w:next w:val="Normal00"/>
    <w:qFormat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pPr>
      <w:widowControl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en-US" w:bidi="ar-SA"/>
    </w:rPr>
  </w:style>
  <w:style w:type="paragraph" w:customStyle="1" w:styleId="Heading10">
    <w:name w:val="Heading 1_0"/>
    <w:basedOn w:val="Normal00"/>
    <w:next w:val="Normal00"/>
    <w:qFormat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qFormat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qFormat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0">
    <w:name w:val="Heading 4_0"/>
    <w:basedOn w:val="Normal00"/>
    <w:next w:val="Normal00"/>
    <w:qFormat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qFormat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0"/>
    <w:next w:val="Normal00"/>
    <w:qFormat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qFormat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1">
    <w:name w:val="normal_1"/>
    <w:qFormat/>
    <w:pPr>
      <w:widowControl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en-US" w:bidi="ar-SA"/>
    </w:rPr>
  </w:style>
  <w:style w:type="paragraph" w:customStyle="1" w:styleId="Heading11">
    <w:name w:val="Heading 1_1"/>
    <w:basedOn w:val="Normal00"/>
    <w:next w:val="Normal00"/>
    <w:qFormat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qFormat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qFormat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1">
    <w:name w:val="Heading 4_1"/>
    <w:basedOn w:val="Normal00"/>
    <w:next w:val="Normal00"/>
    <w:qFormat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qFormat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1">
    <w:name w:val="Heading 6_1"/>
    <w:basedOn w:val="Normal00"/>
    <w:next w:val="Normal00"/>
    <w:qFormat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qFormat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pPr>
      <w:widowControl/>
      <w:suppressAutoHyphens/>
      <w:bidi w:val="0"/>
      <w:spacing w:before="0" w:after="0" w:line="1" w:lineRule="atLeast"/>
      <w:jc w:val="left"/>
      <w:textAlignment w:val="top"/>
      <w:outlineLvl w:val="0"/>
    </w:pPr>
    <w:rPr>
      <w:rFonts w:ascii="Times New Roman" w:eastAsia="NSimSun" w:hAnsi="Times New Roman" w:cs="Lucida Sans"/>
      <w:color w:val="auto"/>
      <w:w w:val="100"/>
      <w:kern w:val="0"/>
      <w:position w:val="0"/>
      <w:sz w:val="20"/>
      <w:szCs w:val="20"/>
      <w:effect w:val="none"/>
      <w:vertAlign w:val="baseline"/>
      <w:lang w:val="pt-BR" w:eastAsia="pt-BR" w:bidi="ar-SA"/>
    </w:rPr>
  </w:style>
  <w:style w:type="paragraph" w:customStyle="1" w:styleId="TextosemFormatao">
    <w:name w:val="Texto sem Formatação"/>
    <w:basedOn w:val="Normal00"/>
    <w:qFormat/>
    <w:pPr>
      <w:suppressAutoHyphens/>
      <w:spacing w:line="1" w:lineRule="atLeast"/>
      <w:textAlignment w:val="top"/>
    </w:pPr>
    <w:rPr>
      <w:rFonts w:ascii="Courier New" w:hAnsi="Courier New"/>
      <w:w w:val="100"/>
      <w:position w:val="0"/>
      <w:sz w:val="20"/>
      <w:effect w:val="none"/>
      <w:vertAlign w:val="baseline"/>
      <w:lang w:val="pt-BR" w:eastAsia="pt-BR" w:bidi="ar-SA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00"/>
    <w:pPr>
      <w:tabs>
        <w:tab w:val="clear" w:pos="720"/>
        <w:tab w:val="center" w:pos="4419"/>
        <w:tab w:val="right" w:pos="8838"/>
      </w:tabs>
      <w:suppressAutoHyphens/>
      <w:spacing w:line="1" w:lineRule="atLeast"/>
      <w:textAlignment w:val="top"/>
    </w:pPr>
    <w:rPr>
      <w:w w:val="100"/>
      <w:position w:val="0"/>
      <w:sz w:val="20"/>
      <w:effect w:val="none"/>
      <w:vertAlign w:val="baseline"/>
      <w:lang w:val="pt-BR" w:eastAsia="pt-BR" w:bidi="ar-SA"/>
    </w:rPr>
  </w:style>
  <w:style w:type="paragraph" w:customStyle="1" w:styleId="Footer">
    <w:name w:val="Footer"/>
    <w:basedOn w:val="Normal00"/>
    <w:pPr>
      <w:tabs>
        <w:tab w:val="clear" w:pos="720"/>
        <w:tab w:val="center" w:pos="4419"/>
        <w:tab w:val="right" w:pos="8838"/>
      </w:tabs>
      <w:suppressAutoHyphens/>
      <w:spacing w:line="1" w:lineRule="atLeast"/>
      <w:textAlignment w:val="top"/>
    </w:pPr>
    <w:rPr>
      <w:w w:val="100"/>
      <w:position w:val="0"/>
      <w:sz w:val="20"/>
      <w:effect w:val="none"/>
      <w:vertAlign w:val="baseline"/>
      <w:lang w:val="pt-BR" w:eastAsia="pt-BR" w:bidi="ar-SA"/>
    </w:rPr>
  </w:style>
  <w:style w:type="paragraph" w:customStyle="1" w:styleId="Textodebalo">
    <w:name w:val="Texto de balão"/>
    <w:basedOn w:val="Normal00"/>
    <w:qFormat/>
    <w:pPr>
      <w:suppressAutoHyphens/>
      <w:spacing w:line="1" w:lineRule="atLeast"/>
      <w:textAlignment w:val="top"/>
    </w:pPr>
    <w:rPr>
      <w:rFonts w:ascii="Segoe UI" w:hAnsi="Segoe UI"/>
      <w:w w:val="100"/>
      <w:position w:val="0"/>
      <w:sz w:val="18"/>
      <w:szCs w:val="18"/>
      <w:effect w:val="none"/>
      <w:vertAlign w:val="baseline"/>
      <w:lang w:bidi="ar-SA"/>
    </w:rPr>
  </w:style>
  <w:style w:type="paragraph" w:styleId="Subtitle">
    <w:name w:val="Subtitle"/>
    <w:basedOn w:val="Normal00"/>
    <w:next w:val="Normal00"/>
    <w:qFormat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qFormat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qFormat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Semlista">
    <w:name w:val="Sem lista"/>
    <w:qFormat/>
  </w:style>
  <w:style w:type="table" w:customStyle="1" w:styleId="TableNormal0">
    <w:name w:val="Table Normal_0"/>
    <w:tblPr/>
  </w:style>
  <w:style w:type="table" w:customStyle="1" w:styleId="TableNormal1">
    <w:name w:val="Table Normal_1"/>
    <w:tblPr/>
  </w:style>
  <w:style w:type="table" w:customStyle="1" w:styleId="Tabelanormal">
    <w:name w:val="Tabela normal"/>
    <w:pPr>
      <w:spacing w:line="1" w:lineRule="atLeast"/>
      <w:ind w:rightChars="0"/>
    </w:pPr>
    <w:rPr>
      <w:lang w:val="x-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">
    <w:name w:val="Tabela com grade"/>
    <w:basedOn w:val="Tabelanormal"/>
    <w:pPr>
      <w:spacing w:line="1" w:lineRule="atLeast"/>
      <w:ind w:rightChars="0"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">
    <w:name w:val="Table3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">
    <w:name w:val="Table4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">
    <w:name w:val="Table5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">
    <w:name w:val="Table6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0">
    <w:name w:val="Table2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0">
    <w:name w:val="Table3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0">
    <w:name w:val="Table4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0">
    <w:name w:val="Table5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0">
    <w:name w:val="Table6_0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SZHxg4GpQ7gsCBeNSQl/ZqeklBA==">AMUW2mVGsjJX4mf8yoZkM+LX2ca9MKA9ZXGqNwY1fTz3l7TDgR8zECF+jJtaL++NTuCaExd1DtlrYpdwQWl0z3RZEbeqnMSvlRpvRY/NyuXd7giRkNCCuRQ=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5</Pages>
  <Words>1112</Words>
  <Characters>5804</Characters>
  <Application>Microsoft Office Word</Application>
  <DocSecurity>0</DocSecurity>
  <Lines>0</Lines>
  <Paragraphs>51</Paragraphs>
  <ScaleCrop>false</ScaleCrop>
  <Company/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2</cp:revision>
  <cp:lastPrinted>2022-03-25T15:13:35Z</cp:lastPrinted>
  <dcterms:created xsi:type="dcterms:W3CDTF">2021-09-23T19:06:00Z</dcterms:created>
  <dcterms:modified xsi:type="dcterms:W3CDTF">2022-03-25T15:38:25Z</dcterms:modified>
  <dc:language>pt-BR</dc:language>
</cp:coreProperties>
</file>