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CONJUNTO DAS COMISSÕES DE JUSTIÇA E REDAÇÃO, COMISSÃO DE OBRAS, SERVIÇOS PÚBLICOS E ATIVIDADES PRIVADAS.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RELATÓRIO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4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55 de 2022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estabelece os artigos 35 e 38 do Regimento Interno (Resolução n.º 276 de 09 de novembro de 2.010); é atribuição das referidas comissões emitirem parecer sobre esta proposição apresentada, destaca-se, que, o artigo 45 autoriza que o parecer seja realizado em conjunto, cuja relatoria ficou a cargo do vereador Orivaldo Aparecido Magalhães.</w:t>
      </w:r>
      <w:bookmarkStart w:id="0" w:name="_GoBack"/>
      <w:bookmarkEnd w:id="0"/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Exposição da Matéria</w:t>
      </w:r>
    </w:p>
    <w:p>
      <w:pPr>
        <w:jc w:val="both"/>
        <w:rPr>
          <w:rFonts w:ascii="Arial" w:eastAsia="Arial" w:hAnsi="Arial" w:cs="Arial"/>
          <w:sz w:val="24"/>
          <w:szCs w:val="24"/>
        </w:rPr>
      </w:pPr>
    </w:p>
    <w:p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poder executivo encaminhou a esta casa de leis o projeto de lei nº 55 de 2022, que </w:t>
      </w:r>
      <w:r>
        <w:rPr>
          <w:rFonts w:ascii="Arial" w:eastAsia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AUTORIZA O PODER EXECUTIVO MUNICIPAL A FIRMAR CONVÊNIO COM O DEPARTAMENTO DE ESTRADAS DE RODAGEM DO ESTADO DE SÃO PAULO (DER/SP), E DÁ OUTRAS PROVIDÊNCIAS.</w:t>
      </w:r>
      <w:r>
        <w:rPr>
          <w:rFonts w:ascii="Arial" w:eastAsia="Arial" w:hAnsi="Arial" w:cs="Arial"/>
          <w:b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referido projeto visa autorizar o município de Mogi-Mirim/SP a firmar convênio com o departamento de estradas de Rodagem do Estado de São Paulo (DER/AP), bem como autoriza o município a realizar despesas decorrentes de sua participação na avença.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referido projeto também menciona que as despesas decorrentes desta lei correrão por conta de dotações orçamentárias próprias, suplementadas se necessário.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 Do mérito e conclusões do relator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propositura foi direcionada às comissões de Justiça e Redação, comissão de Obras e Serviços Públicos e Atividadades Privadas, para análise e emissão de parecer, que optaram pela elaboração do parecer em conjunto, conforme autoriza o regimento interno.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passamos então a análise da proposição.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relação a competência legislativa, 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Na justificativa do presente projeto de lei o executivo informou que a respectiva autorização possibilitará a execução de obras e serviços de recuperação funcional do pavimento e reabilitação de sinalização da Estrada Vicinal Oscar Ferreira de Mello, MMR-371 </w:t>
      </w:r>
      <w:r>
        <w:rPr>
          <w:rFonts w:ascii="Arial" w:hAnsi="Arial" w:cs="Arial"/>
          <w:sz w:val="24"/>
          <w:szCs w:val="24"/>
        </w:rPr>
        <w:t>ligação do Distrito de Martim Francisco com a SP-340 (Km 154), com extensão total de 3.241 km, que já está programada para acontecer, motivo pelo qual justificaram a urgência em sua aprovação.</w:t>
      </w:r>
    </w:p>
    <w:p>
      <w:pPr>
        <w:pStyle w:val="Normal1"/>
        <w:spacing w:line="273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No mérito, ao analisarmos o processo, bem como os demais documentos anexados, podemos entender que o mesmo possui exposições que merecem prosperar, tendo em vista que o respectivo local necessita da obra mencionada, que para ser realizada precisa desta autorização legislativa.</w:t>
      </w:r>
      <w:r>
        <w:rPr>
          <w:rFonts w:ascii="Arial" w:eastAsia="Arial" w:hAnsi="Arial" w:cs="Arial"/>
        </w:rPr>
        <w:t xml:space="preserve"> </w:t>
      </w:r>
    </w:p>
    <w:p>
      <w:pPr>
        <w:pStyle w:val="Normal1"/>
        <w:spacing w:line="273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Frisa-se que, em fls. 05 foi anexada uma relação pelo departamento de Estrada de Rodagem endereçada ao Prefeito Paulo Silva, informando os documentos necessários para realização do respectivo convênio, dentre eles estão: lei autorizativa, comprovante de residência do prefeito, declaração da prefeitura indicando o engenheiro, dentre outros. </w:t>
      </w:r>
    </w:p>
    <w:p>
      <w:pPr>
        <w:pStyle w:val="Normal1"/>
        <w:spacing w:line="273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folhas 06 a Sra. Regina Célia S. Bigheti, coordenadora de Secretaria, informou a necessidade de elaboração de Projeto de Lei para celebração do respectivo convênio, conforme solicitado na relação do DER/SP, razão pela qual o projeto de lei se encontra para análise e apreciação nesta casa legislativa.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tocante ao aspecto gramatical e lógico, verifica-se que houve respeito às regras ortográficas e técnica legislativa, não havendo apontamentos neste sentido.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>
      <w:pPr>
        <w:spacing w:line="273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 Comissões não propõem qualquer alteração ao projeto de lei em análise.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 Decisão das Comissões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levando em conta todo o exposto, encaminhamos o presente projeto de lei para deliberação e votação do Douto Plenário desta casa, emitindo parecer FAVORÁVEL.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Sala das Comissões, 20 de abril de 2022.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JUSTIÇA E REDAÇÃO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Vereador João Victor Coutinho Gasparini 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Vereadora Mara Choqueta</w:t>
        <w:br/>
      </w:r>
      <w:r>
        <w:rPr>
          <w:rFonts w:ascii="Arial" w:eastAsia="Arial" w:hAnsi="Arial" w:cs="Arial"/>
          <w:sz w:val="24"/>
          <w:szCs w:val="24"/>
        </w:rPr>
        <w:t>Vice-Presidente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 Lúcia Ferreira Tenório</w:t>
        <w:br/>
      </w:r>
      <w:r>
        <w:rPr>
          <w:rFonts w:ascii="Arial" w:eastAsia="Arial" w:hAnsi="Arial" w:cs="Arial"/>
          <w:sz w:val="24"/>
          <w:szCs w:val="24"/>
        </w:rPr>
        <w:t>Membro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>
      <w:pPr>
        <w:pStyle w:val="Normal1"/>
        <w:spacing w:line="273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Presidente/Relator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Geraldo Vicente Bertanha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Ademir Souza Floretti Junior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>
      <w:pPr>
        <w:pStyle w:val="Normal1"/>
        <w:spacing w:line="273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3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27653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PL 55 de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20238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PL 55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qFormat/>
    <w:pPr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qFormat/>
    <w:pPr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qFormat/>
    <w:pPr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qFormat/>
    <w:pPr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qFormat/>
    <w:pPr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qFormat/>
    <w:pPr>
      <w:spacing w:before="200" w:after="40"/>
      <w:outlineLvl w:val="5"/>
    </w:pPr>
    <w:rPr>
      <w:b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apple-tab-span">
    <w:name w:val="apple-tab-span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709</Words>
  <Characters>4016</Characters>
  <Application>Microsoft Office Word</Application>
  <DocSecurity>0</DocSecurity>
  <Lines>0</Lines>
  <Paragraphs>42</Paragraphs>
  <ScaleCrop>false</ScaleCrop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Magalhaes</cp:lastModifiedBy>
  <cp:revision>3</cp:revision>
  <cp:lastPrinted>2022-04-20T14:53:00Z</cp:lastPrinted>
  <dcterms:created xsi:type="dcterms:W3CDTF">2022-04-20T14:52:00Z</dcterms:created>
  <dcterms:modified xsi:type="dcterms:W3CDTF">2022-04-20T15:05:00Z</dcterms:modified>
  <dc:language>pt-BR</dc:language>
  <cp:version>9.103.88.44548</cp:version>
</cp:coreProperties>
</file>