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Relatório  </w:t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  <w:r>
        <w:rPr>
          <w:rFonts w:cs="Arial" w:ascii="Arial" w:hAnsi="Arial"/>
          <w:b/>
          <w:bCs/>
          <w:sz w:val="24"/>
          <w:szCs w:val="24"/>
        </w:rPr>
        <w:t>Projeto de Lei nº 05</w:t>
      </w:r>
      <w:r>
        <w:rPr>
          <w:rFonts w:cs="Arial" w:ascii="Arial" w:hAnsi="Arial"/>
          <w:b/>
          <w:bCs/>
          <w:sz w:val="24"/>
          <w:szCs w:val="24"/>
        </w:rPr>
        <w:t>6</w:t>
      </w:r>
      <w:r>
        <w:rPr>
          <w:rFonts w:cs="Arial" w:ascii="Arial" w:hAnsi="Arial"/>
          <w:b/>
          <w:bCs/>
          <w:sz w:val="24"/>
          <w:szCs w:val="24"/>
        </w:rPr>
        <w:t>/2022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 </w:t>
      </w:r>
      <w:r>
        <w:rPr>
          <w:rFonts w:cs="Calibri" w:ascii="Calibri" w:hAnsi="Calibri"/>
          <w:sz w:val="26"/>
          <w:szCs w:val="26"/>
        </w:rPr>
        <w:tab/>
        <w:t xml:space="preserve"> </w:t>
        <w:tab/>
        <w:t xml:space="preserve">Conforme determina o artigo 35, 37, </w:t>
      </w:r>
      <w:r>
        <w:rPr>
          <w:rFonts w:cs="Calibri" w:ascii="Calibri" w:hAnsi="Calibri"/>
          <w:sz w:val="26"/>
          <w:szCs w:val="26"/>
        </w:rPr>
        <w:t>3</w:t>
      </w:r>
      <w:r>
        <w:rPr>
          <w:rFonts w:cs="Calibri" w:ascii="Calibri" w:hAnsi="Calibri"/>
          <w:sz w:val="26"/>
          <w:szCs w:val="26"/>
        </w:rPr>
        <w:t>8</w:t>
      </w:r>
      <w:r>
        <w:rPr>
          <w:rFonts w:cs="Calibri" w:ascii="Calibri" w:hAnsi="Calibri"/>
          <w:sz w:val="26"/>
          <w:szCs w:val="26"/>
        </w:rPr>
        <w:t xml:space="preserve"> e 39, combinado com artigo 45 da Resolução 276 de 09 de novembro de 2010 – Regimento Interno da Câmara Municipal, a Comissão Permanente de Justiça e Redação, conjuntamente com as Comissões Permanentes de Educação, Saúde, Cultura, Esporte e Assistência Social, </w:t>
      </w:r>
      <w:r>
        <w:rPr>
          <w:rFonts w:cs="Calibri" w:ascii="Calibri" w:hAnsi="Calibri"/>
          <w:sz w:val="26"/>
          <w:szCs w:val="26"/>
        </w:rPr>
        <w:t xml:space="preserve">Comissão de Obras, Serviços Públicos e Atividades Privadas </w:t>
      </w:r>
      <w:r>
        <w:rPr>
          <w:rFonts w:cs="Calibri" w:ascii="Calibri" w:hAnsi="Calibri"/>
          <w:sz w:val="26"/>
          <w:szCs w:val="26"/>
        </w:rPr>
        <w:t xml:space="preserve">e </w:t>
      </w:r>
      <w:r>
        <w:rPr>
          <w:rFonts w:cs="Calibri" w:ascii="Calibri" w:hAnsi="Calibri"/>
          <w:sz w:val="26"/>
          <w:szCs w:val="26"/>
        </w:rPr>
        <w:t>Comissão de</w:t>
      </w:r>
      <w:r>
        <w:rPr>
          <w:rFonts w:cs="Calibri" w:ascii="Calibri" w:hAnsi="Calibri"/>
          <w:sz w:val="26"/>
          <w:szCs w:val="26"/>
        </w:rPr>
        <w:t xml:space="preserve"> Finanças e Orçamento emitem o presente Relatório acerca do Projeto de Lei Complementar nº </w:t>
      </w:r>
      <w:r>
        <w:rPr>
          <w:rFonts w:cs="Calibri" w:ascii="Calibri" w:hAnsi="Calibri"/>
          <w:sz w:val="26"/>
          <w:szCs w:val="26"/>
        </w:rPr>
        <w:t>56</w:t>
      </w:r>
      <w:r>
        <w:rPr>
          <w:rFonts w:cs="Calibri" w:ascii="Calibri" w:hAnsi="Calibri"/>
          <w:sz w:val="26"/>
          <w:szCs w:val="26"/>
        </w:rPr>
        <w:t>/2022, de autoria do Exmo. Sr. Prefeito Municipal.</w:t>
      </w:r>
    </w:p>
    <w:p>
      <w:pPr>
        <w:pStyle w:val="Normal"/>
        <w:jc w:val="both"/>
        <w:rPr>
          <w:color w:val="5983B0"/>
        </w:rPr>
      </w:pPr>
      <w:r>
        <w:rPr/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Exposição da Matéria</w:t>
      </w:r>
    </w:p>
    <w:p>
      <w:pPr>
        <w:pStyle w:val="ListParagraph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sz w:val="26"/>
          <w:szCs w:val="26"/>
        </w:rPr>
        <w:t> </w:t>
      </w:r>
      <w:r>
        <w:rPr>
          <w:rFonts w:cs="Calibri" w:ascii="Calibri" w:hAnsi="Calibri"/>
          <w:sz w:val="26"/>
          <w:szCs w:val="26"/>
        </w:rPr>
        <w:tab/>
        <w:t>O Excelentíssimo Senhor Prefeito, Paulo de Oliveira e Silva, encaminha a esta Casa o Projeto de Lei nº 05</w:t>
      </w:r>
      <w:r>
        <w:rPr>
          <w:rFonts w:cs="Calibri" w:ascii="Calibri" w:hAnsi="Calibri"/>
          <w:sz w:val="26"/>
          <w:szCs w:val="26"/>
        </w:rPr>
        <w:t>6</w:t>
      </w:r>
      <w:r>
        <w:rPr>
          <w:rFonts w:cs="Calibri" w:ascii="Calibri" w:hAnsi="Calibri"/>
          <w:sz w:val="26"/>
          <w:szCs w:val="26"/>
        </w:rPr>
        <w:t xml:space="preserve">/2022, que </w:t>
      </w:r>
      <w:r>
        <w:rPr>
          <w:rFonts w:cs="Calibri" w:ascii="Calibri" w:hAnsi="Calibri"/>
          <w:b/>
          <w:bCs/>
          <w:sz w:val="26"/>
          <w:szCs w:val="26"/>
        </w:rPr>
        <w:t xml:space="preserve">“Dispõe sobre abertura de crédito suplementar, por </w:t>
      </w:r>
      <w:r>
        <w:rPr>
          <w:rFonts w:cs="Calibri" w:ascii="Calibri" w:hAnsi="Calibri"/>
          <w:b/>
          <w:bCs/>
          <w:sz w:val="26"/>
          <w:szCs w:val="26"/>
        </w:rPr>
        <w:t>excesso de arrecadação,</w:t>
      </w:r>
      <w:r>
        <w:rPr>
          <w:rFonts w:cs="Calibri" w:ascii="Calibri" w:hAnsi="Calibri"/>
          <w:b/>
          <w:bCs/>
          <w:sz w:val="26"/>
          <w:szCs w:val="26"/>
        </w:rPr>
        <w:t xml:space="preserve"> no valor de R$ </w:t>
      </w:r>
      <w:r>
        <w:rPr>
          <w:rFonts w:cs="Calibri" w:ascii="Calibri" w:hAnsi="Calibri"/>
          <w:b/>
          <w:bCs/>
          <w:sz w:val="26"/>
          <w:szCs w:val="26"/>
        </w:rPr>
        <w:t>251.000</w:t>
      </w:r>
      <w:r>
        <w:rPr>
          <w:rFonts w:cs="Calibri" w:ascii="Calibri" w:hAnsi="Calibri"/>
          <w:b/>
          <w:bCs/>
          <w:sz w:val="26"/>
          <w:szCs w:val="26"/>
        </w:rPr>
        <w:t xml:space="preserve">,00.”  </w:t>
      </w:r>
    </w:p>
    <w:p>
      <w:pPr>
        <w:pStyle w:val="Normal"/>
        <w:jc w:val="both"/>
        <w:rPr>
          <w:b/>
          <w:b/>
          <w:bCs/>
        </w:rPr>
      </w:pPr>
      <w:r>
        <w:rPr>
          <w:rFonts w:cs="Calibri" w:ascii="Calibri" w:hAnsi="Calibri"/>
          <w:b/>
          <w:bCs/>
          <w:sz w:val="26"/>
          <w:szCs w:val="26"/>
        </w:rPr>
        <w:tab/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sz w:val="26"/>
          <w:szCs w:val="26"/>
        </w:rPr>
        <w:t xml:space="preserve">A propositura é uma autorização </w:t>
      </w:r>
      <w:r>
        <w:rPr>
          <w:rFonts w:cs="Calibri" w:ascii="Calibri" w:hAnsi="Calibri"/>
          <w:sz w:val="26"/>
          <w:szCs w:val="26"/>
        </w:rPr>
        <w:t xml:space="preserve">necessária e indispensável, </w:t>
      </w:r>
      <w:r>
        <w:rPr>
          <w:rFonts w:cs="Calibri" w:ascii="Calibri" w:hAnsi="Calibri"/>
          <w:sz w:val="26"/>
          <w:szCs w:val="26"/>
        </w:rPr>
        <w:t xml:space="preserve">para que o Poder Executivo possa abrir crédito suplementar </w:t>
      </w:r>
      <w:r>
        <w:rPr>
          <w:rFonts w:cs="Calibri" w:ascii="Calibri" w:hAnsi="Calibri"/>
          <w:sz w:val="26"/>
          <w:szCs w:val="26"/>
        </w:rPr>
        <w:t>por excesso de arrecadação no valor de R$ 251.000,00 d</w:t>
      </w:r>
      <w:r>
        <w:rPr>
          <w:rFonts w:cs="Calibri" w:ascii="Calibri" w:hAnsi="Calibri"/>
          <w:sz w:val="26"/>
          <w:szCs w:val="26"/>
        </w:rPr>
        <w:t xml:space="preserve">estinados à </w:t>
      </w:r>
      <w:r>
        <w:rPr>
          <w:rFonts w:cs="Calibri" w:ascii="Calibri" w:hAnsi="Calibri"/>
          <w:sz w:val="26"/>
          <w:szCs w:val="26"/>
        </w:rPr>
        <w:t xml:space="preserve">Secretaria de Cultura e Turismo </w:t>
      </w:r>
      <w:r>
        <w:rPr>
          <w:rFonts w:cs="Calibri" w:ascii="Calibri" w:hAnsi="Calibri"/>
          <w:sz w:val="26"/>
          <w:szCs w:val="26"/>
        </w:rPr>
        <w:t xml:space="preserve">por meio do Convênio celebrado com o Estado de São Paulo pela Secretaria </w:t>
      </w:r>
      <w:r>
        <w:rPr>
          <w:rFonts w:cs="Calibri" w:ascii="Calibri" w:hAnsi="Calibri"/>
          <w:sz w:val="26"/>
          <w:szCs w:val="26"/>
        </w:rPr>
        <w:t xml:space="preserve">Estadual </w:t>
      </w:r>
      <w:r>
        <w:rPr>
          <w:rFonts w:cs="Calibri" w:ascii="Calibri" w:hAnsi="Calibri"/>
          <w:sz w:val="26"/>
          <w:szCs w:val="26"/>
        </w:rPr>
        <w:t>de Turismo e Viagens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sz w:val="26"/>
          <w:szCs w:val="26"/>
        </w:rPr>
        <w:tab/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II. Do mérito e conclusões do relator</w:t>
      </w:r>
      <w:r>
        <w:rPr>
          <w:rFonts w:cs="Calibri" w:ascii="Calibri" w:hAnsi="Calibri"/>
          <w:sz w:val="26"/>
          <w:szCs w:val="26"/>
        </w:rPr>
        <w:t> </w:t>
      </w:r>
    </w:p>
    <w:p>
      <w:pPr>
        <w:pStyle w:val="Normal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sz w:val="26"/>
          <w:szCs w:val="26"/>
        </w:rPr>
        <w:t>Em análise técnica da matéria, denota-se que não existem óbices jurídicos para tramitação da presente propositura, posto que a mesma não apresenta mácula de constitucionalidade.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  <w:t xml:space="preserve"> </w:t>
        <w:tab/>
      </w:r>
      <w:r>
        <w:rPr>
          <w:rFonts w:cs="Calibri" w:ascii="Calibri" w:hAnsi="Calibri"/>
          <w:sz w:val="26"/>
          <w:szCs w:val="26"/>
        </w:rPr>
        <w:t>A abertura de crédito público solicitada trata-se de recurso destinado ao aumento de repasse a este Município referente ao Convênio MIT – Município de Interesse Turístico, para a adequação dos projetos do exercício de 2022.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  <w:tab/>
        <w:t xml:space="preserve">Considerando que o Governo do Estado de São Paulo, através da Secretaria de Turismo </w:t>
      </w:r>
      <w:r>
        <w:rPr>
          <w:rFonts w:cs="Calibri" w:ascii="Calibri" w:hAnsi="Calibri"/>
          <w:sz w:val="26"/>
          <w:szCs w:val="26"/>
        </w:rPr>
        <w:t>e Viagens</w:t>
      </w:r>
      <w:r>
        <w:rPr>
          <w:rFonts w:cs="Calibri" w:ascii="Calibri" w:hAnsi="Calibri"/>
          <w:sz w:val="26"/>
          <w:szCs w:val="26"/>
        </w:rPr>
        <w:t>, havia anunciado que o valor máximo repassado aos municípios MIT seria de R$ 362 mil, sendo este o valor previsto no PPA e na LOA 2</w:t>
      </w:r>
      <w:r>
        <w:rPr>
          <w:rFonts w:cs="Calibri" w:ascii="Calibri" w:hAnsi="Calibri"/>
          <w:sz w:val="26"/>
          <w:szCs w:val="26"/>
        </w:rPr>
        <w:t>0</w:t>
      </w:r>
      <w:r>
        <w:rPr>
          <w:rFonts w:cs="Calibri" w:ascii="Calibri" w:hAnsi="Calibri"/>
          <w:sz w:val="26"/>
          <w:szCs w:val="26"/>
        </w:rPr>
        <w:t>22.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  <w:tab/>
        <w:t xml:space="preserve">Considerando que houve um aporte desse recurso por parte do Governo do Estado no valor de R$ 613 mil e </w:t>
      </w:r>
      <w:r>
        <w:rPr>
          <w:rFonts w:cs="Calibri" w:ascii="Calibri" w:hAnsi="Calibri"/>
          <w:sz w:val="26"/>
          <w:szCs w:val="26"/>
        </w:rPr>
        <w:t>c</w:t>
      </w:r>
      <w:r>
        <w:rPr>
          <w:rFonts w:cs="Calibri" w:ascii="Calibri" w:hAnsi="Calibri"/>
          <w:sz w:val="26"/>
          <w:szCs w:val="26"/>
        </w:rPr>
        <w:t xml:space="preserve">onsequente adequação dos projetos </w:t>
      </w:r>
      <w:r>
        <w:rPr>
          <w:rFonts w:cs="Calibri" w:ascii="Calibri" w:hAnsi="Calibri"/>
          <w:sz w:val="26"/>
          <w:szCs w:val="26"/>
        </w:rPr>
        <w:t xml:space="preserve">com o apoio da Secretaria de Planejamento, </w:t>
      </w:r>
      <w:r>
        <w:rPr>
          <w:rFonts w:cs="Calibri" w:ascii="Calibri" w:hAnsi="Calibri"/>
          <w:sz w:val="26"/>
          <w:szCs w:val="26"/>
        </w:rPr>
        <w:t>sendo necessário fazer a adequação.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  <w:tab/>
      </w:r>
    </w:p>
    <w:p>
      <w:pPr>
        <w:pStyle w:val="Normal"/>
        <w:spacing w:before="240" w:after="240"/>
        <w:jc w:val="both"/>
        <w:rPr>
          <w:color w:val="5983B0"/>
        </w:rPr>
      </w:pPr>
      <w:r>
        <w:rPr/>
      </w:r>
    </w:p>
    <w:p>
      <w:pPr>
        <w:pStyle w:val="Normal"/>
        <w:spacing w:before="240" w:after="240"/>
        <w:jc w:val="both"/>
        <w:rPr>
          <w:color w:val="5983B0"/>
        </w:rPr>
      </w:pPr>
      <w:r>
        <w:rPr/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  <w:tab/>
        <w:t xml:space="preserve">Tendo em vista, ainda, que </w:t>
      </w:r>
      <w:r>
        <w:rPr>
          <w:rFonts w:cs="Calibri" w:ascii="Calibri" w:hAnsi="Calibri"/>
          <w:sz w:val="26"/>
          <w:szCs w:val="26"/>
        </w:rPr>
        <w:t>não houve alteração nas metas e indicadores do PPA, o recurso servirá para ampliar os serviços de restauro da Estação Educação que, além da reforma do telhado – pr</w:t>
      </w:r>
      <w:r>
        <w:rPr>
          <w:rFonts w:cs="Calibri" w:ascii="Calibri" w:hAnsi="Calibri"/>
          <w:sz w:val="26"/>
          <w:szCs w:val="26"/>
        </w:rPr>
        <w:t>o</w:t>
      </w:r>
      <w:r>
        <w:rPr>
          <w:rFonts w:cs="Calibri" w:ascii="Calibri" w:hAnsi="Calibri"/>
          <w:sz w:val="26"/>
          <w:szCs w:val="26"/>
        </w:rPr>
        <w:t>jeto previamente aprovado – , com o aporte, também poderá receber o restauro do prédio e entorno.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</w:r>
      <w:r>
        <w:rPr>
          <w:rFonts w:cs="Calibri" w:ascii="Calibri" w:hAnsi="Calibri"/>
          <w:sz w:val="26"/>
          <w:szCs w:val="26"/>
        </w:rPr>
        <w:t>Dessa forma, não há óbices para a tramitação do referido projeto de lei tendo em vista o caráter público que reveste a matéria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e j</w:t>
      </w:r>
      <w:r>
        <w:rPr>
          <w:rFonts w:cs="Calibri" w:ascii="Calibri" w:hAnsi="Calibri"/>
          <w:sz w:val="26"/>
          <w:szCs w:val="26"/>
        </w:rPr>
        <w:t xml:space="preserve">unto às Comissões Permanentes foi </w:t>
      </w:r>
      <w:r>
        <w:rPr>
          <w:rFonts w:cs="Calibri" w:ascii="Calibri" w:hAnsi="Calibri"/>
          <w:sz w:val="26"/>
          <w:szCs w:val="26"/>
        </w:rPr>
        <w:t xml:space="preserve">acordado </w:t>
      </w:r>
      <w:r>
        <w:rPr>
          <w:rFonts w:cs="Calibri" w:ascii="Calibri" w:hAnsi="Calibri"/>
          <w:sz w:val="26"/>
          <w:szCs w:val="26"/>
        </w:rPr>
        <w:t>que o parecer seria em conjunto.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III. Substitutivos, Emendas ou subemendas ao Projeto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6"/>
          <w:szCs w:val="26"/>
        </w:rPr>
        <w:t> </w:t>
      </w:r>
      <w:r>
        <w:rPr>
          <w:rFonts w:cs="Calibri" w:ascii="Calibri" w:hAnsi="Calibri"/>
          <w:sz w:val="26"/>
          <w:szCs w:val="26"/>
        </w:rPr>
        <w:tab/>
        <w:t xml:space="preserve">Não foram propostas emendas ou subemendas ao referido projeto 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IV. Decisão da Comissão 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sz w:val="26"/>
          <w:szCs w:val="26"/>
        </w:rPr>
        <w:t>P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ortanto, a Comissão considera que a presente propositura não apresenta vícios de constitucionalidade, recebendo parecer </w:t>
      </w:r>
      <w:r>
        <w:rPr>
          <w:rFonts w:cs="Calibri" w:ascii="Calibri" w:hAnsi="Calibri"/>
          <w:b/>
          <w:bCs/>
          <w:color w:val="000000"/>
          <w:sz w:val="26"/>
          <w:szCs w:val="26"/>
          <w:shd w:fill="FFFFFF" w:val="clear"/>
        </w:rPr>
        <w:t>FAVORÁVEL.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</w:t>
      </w:r>
    </w:p>
    <w:p>
      <w:pPr>
        <w:pStyle w:val="Normal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28 de abril de 2022.</w:t>
      </w:r>
    </w:p>
    <w:p>
      <w:pPr>
        <w:pStyle w:val="Normal"/>
        <w:jc w:val="center"/>
        <w:rPr>
          <w:rFonts w:ascii="Calibri" w:hAnsi="Calibri" w:cs="Calibri"/>
          <w:sz w:val="26"/>
          <w:szCs w:val="26"/>
          <w:shd w:fill="FFFFFF" w:val="clear"/>
        </w:rPr>
      </w:pPr>
      <w:r>
        <w:rPr>
          <w:rFonts w:cs="Calibri" w:ascii="Calibri" w:hAnsi="Calibri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sz w:val="26"/>
          <w:szCs w:val="26"/>
          <w:shd w:fill="FFFFFF" w:val="clear"/>
        </w:rPr>
      </w:pPr>
      <w:r>
        <w:rPr>
          <w:rFonts w:cs="Calibri" w:ascii="Calibri" w:hAnsi="Calibri"/>
          <w:sz w:val="26"/>
          <w:szCs w:val="26"/>
          <w:shd w:fill="FFFFFF" w:val="clea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6"/>
          <w:szCs w:val="26"/>
        </w:rPr>
        <w:t xml:space="preserve">Vereadora Dra. Lúcia Maria Ferreira Tenório </w:t>
      </w:r>
    </w:p>
    <w:p>
      <w:pPr>
        <w:pStyle w:val="Normal"/>
        <w:jc w:val="center"/>
        <w:rPr/>
      </w:pPr>
      <w:r>
        <w:rPr>
          <w:rFonts w:cs="Calibri" w:ascii="Calibri" w:hAnsi="Calibri"/>
          <w:sz w:val="26"/>
          <w:szCs w:val="26"/>
        </w:rPr>
        <w:t>Relatora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6"/>
          <w:szCs w:val="26"/>
        </w:rPr>
        <w:t>PARECER CONJUNTO Nº   /2022 DA COMISSÃO DE JUSTIÇA E REDAÇÃO</w:t>
      </w:r>
      <w:r>
        <w:rPr>
          <w:rFonts w:cs="Arial" w:ascii="Arial" w:hAnsi="Arial"/>
          <w:b/>
          <w:bCs/>
          <w:sz w:val="26"/>
          <w:szCs w:val="26"/>
          <w:u w:val="none"/>
        </w:rPr>
        <w:t xml:space="preserve">, </w:t>
      </w:r>
      <w:r>
        <w:rPr>
          <w:rFonts w:cs="Calibri" w:ascii="Arial" w:hAnsi="Arial" w:cstheme="minorHAnsi"/>
          <w:b/>
          <w:bCs/>
          <w:sz w:val="26"/>
          <w:szCs w:val="26"/>
          <w:u w:val="none"/>
          <w:shd w:fill="FFFFFF" w:val="clear"/>
        </w:rPr>
        <w:t xml:space="preserve">COMISSÃO DE EDUCAÇÃO, SAÚDE, CULTURA, ESPORTE E ASSISTÊNCIA SOCIAL, </w:t>
      </w:r>
      <w:r>
        <w:rPr>
          <w:rStyle w:val="Nfaseforte"/>
          <w:rFonts w:cs="Arial" w:ascii="Arial" w:hAnsi="Arial"/>
          <w:b/>
          <w:bCs/>
          <w:i w:val="false"/>
          <w:caps w:val="false"/>
          <w:smallCaps w:val="false"/>
          <w:spacing w:val="0"/>
          <w:sz w:val="26"/>
          <w:szCs w:val="26"/>
        </w:rPr>
        <w:t>COMISSÃO DE OBRAS, SERVIÇOS PÚBLICOS E ATIVIDADES PRIVADAS</w:t>
      </w:r>
      <w:r>
        <w:rPr>
          <w:rFonts w:cs="Arial" w:ascii="Arial" w:hAnsi="Arial"/>
          <w:b/>
          <w:bCs/>
          <w:sz w:val="26"/>
          <w:szCs w:val="26"/>
        </w:rPr>
        <w:t xml:space="preserve"> E COMISSÃO DE FINANÇAS E ORÇAMENTO</w:t>
      </w:r>
    </w:p>
    <w:p>
      <w:pPr>
        <w:pStyle w:val="Normal"/>
        <w:spacing w:before="0" w:after="24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6"/>
          <w:szCs w:val="26"/>
        </w:rPr>
        <w:t xml:space="preserve">Seguindo o Voto exarado pela Relatora e conforme determina o artigo </w:t>
      </w:r>
      <w:r>
        <w:rPr>
          <w:rFonts w:cs="Calibri" w:ascii="Arial" w:hAnsi="Arial"/>
          <w:sz w:val="26"/>
          <w:szCs w:val="26"/>
        </w:rPr>
        <w:t xml:space="preserve">35, 37, </w:t>
      </w:r>
      <w:r>
        <w:rPr>
          <w:rFonts w:cs="Calibri" w:ascii="Arial" w:hAnsi="Arial"/>
          <w:sz w:val="26"/>
          <w:szCs w:val="26"/>
        </w:rPr>
        <w:t>3</w:t>
      </w:r>
      <w:r>
        <w:rPr>
          <w:rFonts w:cs="Calibri" w:ascii="Arial" w:hAnsi="Arial"/>
          <w:sz w:val="26"/>
          <w:szCs w:val="26"/>
        </w:rPr>
        <w:t>8</w:t>
      </w:r>
      <w:r>
        <w:rPr>
          <w:rFonts w:cs="Calibri" w:ascii="Arial" w:hAnsi="Arial"/>
          <w:sz w:val="26"/>
          <w:szCs w:val="26"/>
        </w:rPr>
        <w:t xml:space="preserve"> e 39, </w:t>
      </w:r>
      <w:r>
        <w:rPr>
          <w:rFonts w:cs="Arial" w:ascii="Arial" w:hAnsi="Arial"/>
          <w:sz w:val="26"/>
          <w:szCs w:val="26"/>
        </w:rPr>
        <w:t xml:space="preserve">combinado com o artigo 45 da Resolução nº 276 de 09 de novembro de 2010, </w:t>
      </w:r>
      <w:r>
        <w:rPr>
          <w:rFonts w:cs="Calibri" w:ascii="Arial" w:hAnsi="Arial"/>
          <w:sz w:val="26"/>
          <w:szCs w:val="26"/>
        </w:rPr>
        <w:t xml:space="preserve">as Comissões Permanentes de Justiça e Redação; Educação, Saúde, Cultura, Esporte e Assistência Social; Obras, Serviços Públicos e Atividades Privadas </w:t>
      </w:r>
      <w:r>
        <w:rPr>
          <w:rFonts w:cs="Calibri" w:ascii="Arial" w:hAnsi="Arial"/>
          <w:sz w:val="26"/>
          <w:szCs w:val="26"/>
        </w:rPr>
        <w:t xml:space="preserve">e Finanças e Orçamento </w:t>
      </w:r>
      <w:r>
        <w:rPr>
          <w:rFonts w:cs="Calibri" w:ascii="Arial" w:hAnsi="Arial"/>
          <w:sz w:val="26"/>
          <w:szCs w:val="26"/>
        </w:rPr>
        <w:t>emitem e</w:t>
      </w:r>
      <w:r>
        <w:rPr>
          <w:rFonts w:cs="Arial" w:ascii="Arial" w:hAnsi="Arial"/>
          <w:sz w:val="26"/>
          <w:szCs w:val="26"/>
        </w:rPr>
        <w:t xml:space="preserve"> formalizam o presente </w:t>
      </w:r>
      <w:r>
        <w:rPr>
          <w:rFonts w:cs="Arial" w:ascii="Arial" w:hAnsi="Arial"/>
          <w:b/>
          <w:bCs/>
          <w:sz w:val="26"/>
          <w:szCs w:val="26"/>
        </w:rPr>
        <w:t>PARECER FAVORÁVEL</w:t>
      </w:r>
      <w:r>
        <w:rPr>
          <w:rFonts w:cs="Arial" w:ascii="Arial" w:hAnsi="Arial"/>
          <w:sz w:val="26"/>
          <w:szCs w:val="26"/>
        </w:rPr>
        <w:t>.</w:t>
      </w:r>
    </w:p>
    <w:p>
      <w:pPr>
        <w:pStyle w:val="Normal"/>
        <w:jc w:val="both"/>
        <w:rPr>
          <w:rFonts w:cs="Arial"/>
          <w:sz w:val="26"/>
          <w:szCs w:val="26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cs="Arial"/>
          <w:sz w:val="26"/>
          <w:szCs w:val="26"/>
        </w:rPr>
      </w:pPr>
      <w:r>
        <w:rPr>
          <w:rFonts w:ascii="Arial" w:hAnsi="Arial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Sala das Comissões, em 28 de abril de 2022.</w:t>
      </w:r>
    </w:p>
    <w:p>
      <w:pPr>
        <w:pStyle w:val="Normal"/>
        <w:spacing w:before="0" w:after="24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/>
      </w:pPr>
      <w:r>
        <w:rPr>
          <w:sz w:val="24"/>
          <w:szCs w:val="24"/>
        </w:rPr>
        <w:br/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rPr/>
      </w:pPr>
      <w:r>
        <w:rPr>
          <w:sz w:val="24"/>
          <w:szCs w:val="24"/>
        </w:rPr>
        <w:br/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Vice -presidente 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DRA. LÚCIA MARIA FERREIRA TENÓRIO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Membr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o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/ Relatora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0" w:after="240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u w:val="single"/>
          <w:shd w:fill="FFFFFF" w:val="clear"/>
        </w:rPr>
        <w:t xml:space="preserve">COMISSÃO DE EDUCAÇÃO, SAÚDE, CULTURA, ESPORTE E ASSISTÊNCIA SOCIAL </w:t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JOELMA FRANCO DA CUNHA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VEREADORA DR. LÚCIA MARIA FERREIRA TENÓRIO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Vice-Presidente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  <w:shd w:fill="FFFFFF" w:val="clear"/>
        </w:rPr>
        <w:t>VEREADOR MÁRCIO EVANDRO RIBEIRO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6"/>
          <w:szCs w:val="26"/>
          <w:u w:val="none"/>
          <w:shd w:fill="FFFFFF" w:val="clear"/>
        </w:rPr>
      </w:pPr>
      <w:r>
        <w:rPr>
          <w:rFonts w:cs="Calibri" w:cstheme="minorHAnsi" w:ascii="Calibri" w:hAnsi="Calibri"/>
          <w:b w:val="false"/>
          <w:bCs w:val="false"/>
          <w:sz w:val="26"/>
          <w:szCs w:val="26"/>
          <w:u w:val="none"/>
          <w:shd w:fill="FFFFFF" w:val="clear"/>
        </w:rPr>
        <w:t>Membro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jc w:val="both"/>
        <w:rPr>
          <w:rStyle w:val="Nfaseforte"/>
          <w:rFonts w:ascii="Arial" w:hAnsi="Arial" w:cs="Arial"/>
          <w:b/>
          <w:b/>
          <w:bCs/>
          <w:i w:val="false"/>
          <w:i w:val="false"/>
          <w:caps w:val="false"/>
          <w:smallCaps w:val="false"/>
          <w:spacing w:val="0"/>
          <w:sz w:val="24"/>
          <w:szCs w:val="24"/>
          <w:u w:val="single"/>
        </w:rPr>
      </w:pPr>
      <w:r>
        <w:rPr/>
      </w:r>
    </w:p>
    <w:p>
      <w:pPr>
        <w:pStyle w:val="Normal"/>
        <w:jc w:val="both"/>
        <w:rPr>
          <w:rStyle w:val="Nfaseforte"/>
          <w:rFonts w:ascii="Arial" w:hAnsi="Arial" w:cs="Arial"/>
          <w:b/>
          <w:b/>
          <w:bCs/>
          <w:i w:val="false"/>
          <w:i w:val="false"/>
          <w:caps w:val="false"/>
          <w:smallCaps w:val="false"/>
          <w:spacing w:val="0"/>
          <w:sz w:val="24"/>
          <w:szCs w:val="24"/>
          <w:u w:val="single"/>
        </w:rPr>
      </w:pPr>
      <w:r>
        <w:rPr/>
      </w:r>
    </w:p>
    <w:p>
      <w:pPr>
        <w:pStyle w:val="Normal"/>
        <w:jc w:val="both"/>
        <w:rPr>
          <w:rStyle w:val="Nfaseforte"/>
          <w:rFonts w:ascii="Arial" w:hAnsi="Arial" w:cs="Arial"/>
          <w:b/>
          <w:b/>
          <w:bCs/>
          <w:i w:val="false"/>
          <w:i w:val="false"/>
          <w:caps w:val="false"/>
          <w:smallCaps w:val="false"/>
          <w:spacing w:val="0"/>
          <w:sz w:val="24"/>
          <w:szCs w:val="24"/>
          <w:u w:val="single"/>
        </w:rPr>
      </w:pPr>
      <w:r>
        <w:rPr/>
      </w:r>
    </w:p>
    <w:p>
      <w:pPr>
        <w:pStyle w:val="Normal"/>
        <w:jc w:val="both"/>
        <w:rPr>
          <w:rStyle w:val="Nfaseforte"/>
          <w:rFonts w:ascii="Arial" w:hAnsi="Arial" w:cs="Arial"/>
          <w:b/>
          <w:b/>
          <w:bCs/>
          <w:i w:val="false"/>
          <w:i w:val="false"/>
          <w:caps w:val="false"/>
          <w:smallCaps w:val="false"/>
          <w:spacing w:val="0"/>
          <w:sz w:val="24"/>
          <w:szCs w:val="24"/>
          <w:u w:val="single"/>
        </w:rPr>
      </w:pPr>
      <w:r>
        <w:rPr/>
      </w:r>
    </w:p>
    <w:p>
      <w:pPr>
        <w:pStyle w:val="Normal"/>
        <w:jc w:val="both"/>
        <w:rPr>
          <w:rStyle w:val="Nfaseforte"/>
          <w:rFonts w:ascii="Arial" w:hAnsi="Arial" w:cs="Arial"/>
          <w:b/>
          <w:b/>
          <w:bCs/>
          <w:i w:val="false"/>
          <w:i w:val="false"/>
          <w:caps w:val="false"/>
          <w:smallCaps w:val="false"/>
          <w:spacing w:val="0"/>
          <w:sz w:val="24"/>
          <w:szCs w:val="24"/>
          <w:u w:val="single"/>
        </w:rPr>
      </w:pPr>
      <w:r>
        <w:rPr/>
      </w:r>
    </w:p>
    <w:p>
      <w:pPr>
        <w:pStyle w:val="Normal"/>
        <w:jc w:val="both"/>
        <w:rPr/>
      </w:pPr>
      <w:r>
        <w:rPr>
          <w:rStyle w:val="Nfaseforte"/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  <w:u w:val="single"/>
        </w:rPr>
        <w:t>COMISSÃO DE OBRAS, SERVIÇOS PÚBLICOS E ATIVIDADES PRIVADAS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VEREADOR ORIVALDO APARECIDO MAGALHÃES</w:t>
      </w:r>
    </w:p>
    <w:p>
      <w:pPr>
        <w:pStyle w:val="Normal"/>
        <w:spacing w:lineRule="auto" w:line="240" w:before="0" w:after="240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Presidente</w:t>
      </w:r>
    </w:p>
    <w:p>
      <w:pPr>
        <w:pStyle w:val="Normal"/>
        <w:spacing w:lineRule="auto" w:line="240" w:before="0" w:after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VEREADOR GERALDO VICENTE BERTANHA</w:t>
      </w:r>
    </w:p>
    <w:p>
      <w:pPr>
        <w:pStyle w:val="Normal"/>
        <w:spacing w:before="0" w:after="240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Vice-presidente</w:t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 xml:space="preserve">VEREADOR ADEMIR DE SOUZA FLORETTI JUNIOR </w:t>
      </w:r>
    </w:p>
    <w:p>
      <w:pPr>
        <w:pStyle w:val="Normal"/>
        <w:spacing w:before="0" w:after="240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 xml:space="preserve">Membro </w:t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  <w:u w:val="single"/>
        </w:rPr>
        <w:t>COMISSÃO DE FINANÇAS E ORÇAMENTO</w:t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VEREADOR MARCOS PAULO CEGATTI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 xml:space="preserve"> </w:t>
      </w:r>
      <w:r>
        <w:rPr>
          <w:rFonts w:ascii="Calibri" w:hAnsi="Calibri"/>
          <w:b w:val="false"/>
          <w:bCs w:val="false"/>
          <w:iCs/>
          <w:sz w:val="26"/>
          <w:szCs w:val="26"/>
        </w:rPr>
        <w:t xml:space="preserve">Presidente 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iCs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 </w:t>
      </w:r>
      <w:r>
        <w:rPr>
          <w:rFonts w:ascii="Calibri" w:hAnsi="Calibri"/>
          <w:b/>
          <w:iCs/>
          <w:sz w:val="26"/>
          <w:szCs w:val="26"/>
        </w:rPr>
        <w:t>VEREADOR ALEXANDRE CINTRA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Vice-Presidente</w:t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 </w:t>
      </w:r>
      <w:r>
        <w:rPr>
          <w:rFonts w:ascii="Calibri" w:hAnsi="Calibri"/>
          <w:b/>
          <w:iCs/>
          <w:sz w:val="26"/>
          <w:szCs w:val="26"/>
        </w:rPr>
        <w:t>VEREADORA MARA CRISTINA CHOQUETTA</w:t>
      </w:r>
    </w:p>
    <w:p>
      <w:pPr>
        <w:pStyle w:val="Normal"/>
        <w:spacing w:before="0" w:after="240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5</w:t>
    </w:r>
    <w:r>
      <w:rPr>
        <w:color w:val="5B9BD5"/>
      </w:rPr>
      <w:fldChar w:fldCharType="end"/>
    </w:r>
  </w:p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73A45ED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73A45ED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" wp14:anchorId="0FC02A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0FC02A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" wp14:anchorId="0FC02A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0FC02A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RodapChar" w:customStyle="1">
    <w:name w:val="Rodapé Char"/>
    <w:basedOn w:val="DefaultParagraphFont"/>
    <w:uiPriority w:val="99"/>
    <w:qFormat/>
    <w:rsid w:val="00924860"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LibreOffice/7.3.1.3$Windows_X86_64 LibreOffice_project/a69ca51ded25f3eefd52d7bf9a5fad8c90b87951</Application>
  <AppVersion>15.0000</AppVersion>
  <Pages>5</Pages>
  <Words>686</Words>
  <Characters>3751</Characters>
  <CharactersWithSpaces>4439</CharactersWithSpaces>
  <Paragraphs>65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2022-03-17T15:49:00Z</dcterms:created>
  <dc:creator>Secretaria</dc:creator>
  <dc:description/>
  <dc:language>pt-BR</dc:language>
  <cp:lastModifiedBy/>
  <cp:lastPrinted>2022-04-28T10:26:36Z</cp:lastPrinted>
  <dcterms:modified xsi:type="dcterms:W3CDTF">2022-04-28T10:30:30Z</dcterms:modified>
  <cp:revision>7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