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Relatório  </w:t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>
        <w:rPr>
          <w:rFonts w:cs="Arial" w:ascii="Arial" w:hAnsi="Arial"/>
          <w:b/>
          <w:bCs/>
          <w:sz w:val="24"/>
          <w:szCs w:val="24"/>
        </w:rPr>
        <w:t>Projeto de Lei nº 057/2022</w:t>
      </w:r>
    </w:p>
    <w:p>
      <w:pPr>
        <w:pStyle w:val="Normal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  <w:t xml:space="preserve"> </w:t>
        <w:tab/>
      </w:r>
      <w:r>
        <w:rPr>
          <w:rFonts w:cs="Calibri" w:ascii="Calibri" w:hAnsi="Calibri"/>
          <w:sz w:val="26"/>
          <w:szCs w:val="26"/>
        </w:rPr>
        <w:t>Conforme determina o artigo 35, 37 e 38, combinado com artigo 45 da Resolução 276 de 09 de novembro de 2010 – Regimento Interno da Câmara Municipal, a Comissão Permanente de Justiça e Redação, conjuntamente com as Comissões Permanentes de Finanças e Orçamento e Comissão de Obras, Serviços Públicos e Atividades Privadas emitem o presente Relatório acerca do Projeto de Lei nº</w:t>
      </w:r>
      <w:r>
        <w:rPr>
          <w:rFonts w:cs="Calibri" w:ascii="Calibri" w:hAnsi="Calibri"/>
          <w:color w:val="5983B0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057/2022, de autoria do Exmo. Sr. Prefeito Municipal.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Exposição da Matéria</w:t>
      </w:r>
    </w:p>
    <w:p>
      <w:pPr>
        <w:pStyle w:val="ListParagraph"/>
        <w:ind w:left="108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sz w:val="26"/>
          <w:szCs w:val="26"/>
        </w:rPr>
        <w:t> </w:t>
      </w:r>
      <w:r>
        <w:rPr>
          <w:rFonts w:cs="Calibri" w:ascii="Calibri" w:hAnsi="Calibri"/>
          <w:sz w:val="26"/>
          <w:szCs w:val="26"/>
        </w:rPr>
        <w:tab/>
        <w:t xml:space="preserve">O Excelentíssimo Senhor Prefeito, Paulo de Oliveira e Silva, encaminha a esta Casa o Projeto de Lei nº 057/2022, que </w:t>
      </w:r>
      <w:r>
        <w:rPr>
          <w:rFonts w:cs="Calibri" w:ascii="Calibri" w:hAnsi="Calibri"/>
          <w:b/>
          <w:bCs/>
          <w:sz w:val="26"/>
          <w:szCs w:val="26"/>
        </w:rPr>
        <w:t xml:space="preserve">“Dispõe sobre abertura de crédito suplementar, por superávit financeiro de 2021, no valor de R$ 48.800,00.”  </w:t>
      </w:r>
    </w:p>
    <w:p>
      <w:pPr>
        <w:pStyle w:val="Normal"/>
        <w:jc w:val="both"/>
        <w:rPr>
          <w:b/>
          <w:b/>
          <w:bCs/>
        </w:rPr>
      </w:pPr>
      <w:r>
        <w:rPr>
          <w:rFonts w:cs="Calibri" w:ascii="Calibri" w:hAnsi="Calibri"/>
          <w:b/>
          <w:bCs/>
          <w:sz w:val="26"/>
          <w:szCs w:val="26"/>
        </w:rPr>
        <w:tab/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sz w:val="26"/>
          <w:szCs w:val="26"/>
        </w:rPr>
        <w:t>A propositura é uma autorização para que o Poder Executivo possa abrir crédito suplementar de recursos financeiros do Governo Federal do exercício de 2021 destinados à aquisição de equipamentos para processamento de hortifrútis.</w:t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sz w:val="26"/>
          <w:szCs w:val="26"/>
        </w:rPr>
        <w:tab/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II. Do mérito e conclusões do relator</w:t>
      </w:r>
      <w:r>
        <w:rPr>
          <w:rFonts w:cs="Calibri" w:ascii="Calibri" w:hAnsi="Calibri"/>
          <w:sz w:val="26"/>
          <w:szCs w:val="26"/>
        </w:rPr>
        <w:t> </w:t>
      </w:r>
    </w:p>
    <w:p>
      <w:pPr>
        <w:pStyle w:val="Normal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>
          <w:color w:val="5983B0"/>
        </w:rPr>
      </w:pPr>
      <w:r>
        <w:rPr>
          <w:rFonts w:cs="Calibri" w:ascii="Calibri" w:hAnsi="Calibri"/>
          <w:color w:val="5983B0"/>
          <w:sz w:val="26"/>
          <w:szCs w:val="26"/>
        </w:rPr>
        <w:t> </w:t>
      </w:r>
      <w:r>
        <w:rPr>
          <w:rFonts w:cs="Calibri" w:ascii="Calibri" w:hAnsi="Calibri"/>
          <w:color w:val="5983B0"/>
          <w:sz w:val="26"/>
          <w:szCs w:val="26"/>
        </w:rPr>
        <w:tab/>
      </w:r>
      <w:r>
        <w:rPr>
          <w:rFonts w:cs="Calibri" w:ascii="Calibri" w:hAnsi="Calibri"/>
          <w:sz w:val="26"/>
          <w:szCs w:val="26"/>
        </w:rPr>
        <w:t>Em análise técnica da matéria, denota-se que não existem óbices jurídicos para tramitação da presente propositura, posto que a mesma não apresenta mácula de constitucionalidade.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 xml:space="preserve"> </w:t>
        <w:tab/>
        <w:t>Considerando que a Administração Municipal alega não ter tido tempo hábil para empenhar o recurso no ano anterior e visto que o pregão de número 124/2021 teve alguns itens desertos.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ab/>
        <w:t>Tendo em vista, ainda, que foi feita a abertura de crédito especial junto à Secretaria de Agricultura – Manutenção das Atividades de Abastecimento (centro de Custo 32003)- Equipamentos Permanentes no valor de R$ 48.705,88 referente ao Convênio 12 de Outubro SAA-PRC-2019/00096, por meio de emenda parlamentar federal.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ab/>
        <w:tab/>
        <w:t>E, por fim, para que seja cumprido o plano de trabalho prorrogado para 2022, verifica-se que não há óbices para a tramitação do projeto considerando o caráter público de que se reveste a matéria e diante dos apontamentos feitos.</w:t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color w:val="5983B0"/>
        </w:rPr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color w:val="5983B0"/>
        </w:rPr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color w:val="5983B0"/>
        </w:rPr>
      </w:r>
    </w:p>
    <w:p>
      <w:pPr>
        <w:pStyle w:val="Normal"/>
        <w:spacing w:before="240" w:after="240"/>
        <w:jc w:val="both"/>
        <w:rPr>
          <w:color w:val="5983B0"/>
        </w:rPr>
      </w:pPr>
      <w:r>
        <w:rPr>
          <w:rFonts w:cs="Calibri" w:ascii="Calibri" w:hAnsi="Calibri"/>
          <w:sz w:val="26"/>
          <w:szCs w:val="26"/>
        </w:rPr>
        <w:t>Junto às Comissões Permanentes foi consensuado que o parecer seria em conjunto.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III. Substitutivos, Emendas ou subemendas ao Projeto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6"/>
          <w:szCs w:val="26"/>
        </w:rPr>
        <w:t> </w:t>
      </w:r>
      <w:r>
        <w:rPr>
          <w:rFonts w:cs="Calibri" w:ascii="Calibri" w:hAnsi="Calibri"/>
          <w:sz w:val="26"/>
          <w:szCs w:val="26"/>
        </w:rPr>
        <w:tab/>
        <w:t xml:space="preserve">Não foram propostas emendas ou subemendas ao referido projeto 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6"/>
          <w:szCs w:val="26"/>
        </w:rPr>
        <w:t>IV. Decisão da Comissão </w:t>
      </w:r>
    </w:p>
    <w:p>
      <w:pPr>
        <w:pStyle w:val="Normal"/>
        <w:jc w:val="both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Calibri" w:ascii="Calibri" w:hAnsi="Calibri"/>
          <w:sz w:val="26"/>
          <w:szCs w:val="26"/>
        </w:rPr>
        <w:t>P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ortanto, a Comissão considera que a presente propositura não apresenta vícios de constitucionalidade, recebendo parecer </w:t>
      </w:r>
      <w:r>
        <w:rPr>
          <w:rFonts w:cs="Calibri" w:ascii="Calibri" w:hAnsi="Calibri"/>
          <w:b/>
          <w:bCs/>
          <w:color w:val="000000"/>
          <w:sz w:val="26"/>
          <w:szCs w:val="26"/>
          <w:shd w:fill="FFFFFF" w:val="clear"/>
        </w:rPr>
        <w:t>FAVORÁVEL.</w:t>
      </w:r>
      <w:r>
        <w:rPr>
          <w:rFonts w:cs="Calibri" w:ascii="Calibri" w:hAnsi="Calibri"/>
          <w:color w:val="000000"/>
          <w:sz w:val="26"/>
          <w:szCs w:val="26"/>
          <w:shd w:fill="FFFFFF" w:val="clear"/>
        </w:rPr>
        <w:t xml:space="preserve"> </w:t>
      </w:r>
    </w:p>
    <w:p>
      <w:pPr>
        <w:pStyle w:val="Normal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28 de abril de 2022.</w:t>
      </w:r>
    </w:p>
    <w:p>
      <w:pPr>
        <w:pStyle w:val="Normal"/>
        <w:jc w:val="center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6"/>
          <w:szCs w:val="26"/>
          <w:shd w:fill="FFFFFF" w:val="clear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26"/>
          <w:szCs w:val="26"/>
        </w:rPr>
        <w:t xml:space="preserve">Vereadora Dra. Lúcia Maria Ferreira Tenório </w:t>
      </w:r>
    </w:p>
    <w:p>
      <w:pPr>
        <w:pStyle w:val="Normal"/>
        <w:jc w:val="center"/>
        <w:rPr/>
      </w:pPr>
      <w:r>
        <w:rPr>
          <w:rFonts w:cs="Calibri" w:ascii="Calibri" w:hAnsi="Calibri"/>
          <w:sz w:val="26"/>
          <w:szCs w:val="26"/>
        </w:rPr>
        <w:t>Relatora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>
          <w:rFonts w:ascii="Bookman Old Style" w:hAnsi="Bookman Old Style"/>
          <w:b/>
          <w:b/>
          <w:iCs/>
          <w:color w:val="5983B0"/>
          <w:sz w:val="22"/>
          <w:szCs w:val="18"/>
        </w:rPr>
      </w:pPr>
      <w:r>
        <w:rPr>
          <w:rFonts w:ascii="Bookman Old Style" w:hAnsi="Bookman Old Style"/>
          <w:b/>
          <w:iCs/>
          <w:color w:val="5983B0"/>
          <w:sz w:val="22"/>
          <w:szCs w:val="18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PARECER CONJUNTO Nº   /2022 DA COMISSÃO DE JUSTIÇA E REDAÇÃO, </w:t>
      </w:r>
      <w:r>
        <w:rPr>
          <w:rStyle w:val="Nfaseforte"/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>COMISSÃO DE OBRAS, SERVIÇOS PÚBLICOS E ATIVIDADES PRIVADAS</w:t>
      </w:r>
      <w:r>
        <w:rPr>
          <w:rFonts w:cs="Arial" w:ascii="Arial" w:hAnsi="Arial"/>
          <w:b/>
          <w:bCs/>
          <w:sz w:val="24"/>
          <w:szCs w:val="24"/>
        </w:rPr>
        <w:t xml:space="preserve">  E COMISSÃO DE FINANÇAS E ORÇAMENTO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Seguindo o Voto exarado pela Relatora e conforme determina o artigo 35, 37 e 38, combinado com o artigo 45 da Resolução nº 276 de 09 de novembro de 2010, </w:t>
      </w:r>
      <w:r>
        <w:rPr>
          <w:rFonts w:cs="Calibri" w:ascii="Arial" w:hAnsi="Arial"/>
          <w:sz w:val="26"/>
          <w:szCs w:val="26"/>
        </w:rPr>
        <w:t>as Comissões Permanentes de Justiça e Redação, Finanças e Orçamento e Obras, Serviços Públicos e Atividades Privadas emitem e</w:t>
      </w:r>
      <w:r>
        <w:rPr>
          <w:rFonts w:cs="Arial" w:ascii="Arial" w:hAnsi="Arial"/>
          <w:sz w:val="26"/>
          <w:szCs w:val="26"/>
        </w:rPr>
        <w:t xml:space="preserve"> formalizam o presente </w:t>
      </w:r>
      <w:r>
        <w:rPr>
          <w:rFonts w:cs="Arial" w:ascii="Arial" w:hAnsi="Arial"/>
          <w:b/>
          <w:bCs/>
          <w:sz w:val="26"/>
          <w:szCs w:val="26"/>
        </w:rPr>
        <w:t>PARECER FAVORÁVEL</w:t>
      </w:r>
      <w:r>
        <w:rPr>
          <w:rFonts w:cs="Arial" w:ascii="Arial" w:hAnsi="Arial"/>
          <w:sz w:val="26"/>
          <w:szCs w:val="26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Sala das Comissões, em 28 de abril de 2022.</w:t>
      </w:r>
    </w:p>
    <w:p>
      <w:pPr>
        <w:pStyle w:val="Normal"/>
        <w:spacing w:before="0" w:after="24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/>
      </w:pPr>
      <w:r>
        <w:rPr>
          <w:sz w:val="24"/>
          <w:szCs w:val="24"/>
        </w:rPr>
        <w:br/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rPr/>
      </w:pPr>
      <w:r>
        <w:rPr>
          <w:sz w:val="24"/>
          <w:szCs w:val="24"/>
        </w:rPr>
        <w:br/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Vice -presidente </w:t>
      </w:r>
    </w:p>
    <w:p>
      <w:pPr>
        <w:pStyle w:val="Normal"/>
        <w:spacing w:before="0" w:after="240"/>
        <w:rPr>
          <w:color w:val="5983B0"/>
          <w:sz w:val="24"/>
          <w:szCs w:val="24"/>
        </w:rPr>
      </w:pPr>
      <w:r>
        <w:rPr>
          <w:color w:val="5983B0"/>
          <w:sz w:val="24"/>
          <w:szCs w:val="24"/>
        </w:rPr>
      </w:r>
    </w:p>
    <w:p>
      <w:pPr>
        <w:pStyle w:val="Normal"/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jc w:val="center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Membr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o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/ Relatora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color w:val="5983B0"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color w:val="5983B0"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>
          <w:rFonts w:cs="Calibri" w:cstheme="minorHAnsi" w:ascii="Calibri" w:hAnsi="Calibri"/>
          <w:b/>
          <w:bCs/>
          <w:sz w:val="26"/>
          <w:szCs w:val="26"/>
          <w:u w:val="single"/>
          <w:shd w:fill="FFFFFF" w:val="clear"/>
        </w:rPr>
      </w:r>
    </w:p>
    <w:p>
      <w:pPr>
        <w:pStyle w:val="Normal"/>
        <w:jc w:val="both"/>
        <w:rPr/>
      </w:pPr>
      <w:r>
        <w:rPr>
          <w:rStyle w:val="Nfaseforte"/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  <w:u w:val="single"/>
        </w:rPr>
        <w:t>COMISSÃO DE OBRAS, SERVIÇOS PÚBLICOS E ATIVIDADES PRIVADAS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ORIVALDO APARECIDO MAGALHÃES</w:t>
      </w:r>
    </w:p>
    <w:p>
      <w:pPr>
        <w:pStyle w:val="Normal"/>
        <w:spacing w:lineRule="auto" w:line="240"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Presidente</w:t>
      </w:r>
    </w:p>
    <w:p>
      <w:pPr>
        <w:pStyle w:val="Normal"/>
        <w:spacing w:lineRule="auto" w:line="240" w:before="0" w:after="24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GERALDO VICENTE BERTANHA</w:t>
      </w:r>
    </w:p>
    <w:p>
      <w:pPr>
        <w:pStyle w:val="Normal"/>
        <w:spacing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Vice-presidente</w:t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 xml:space="preserve">VEREADOR ADEMIR DE SOUZA FLORETTI JUNIOR </w:t>
      </w:r>
    </w:p>
    <w:p>
      <w:pPr>
        <w:pStyle w:val="Normal"/>
        <w:spacing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 xml:space="preserve">Membro </w:t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  <w:u w:val="single"/>
        </w:rPr>
        <w:t>COMISSÃO DE FINANÇAS E ORÇAMENTO</w:t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VEREADOR MARCOS PAULO CEGATTI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 xml:space="preserve"> </w:t>
      </w:r>
      <w:r>
        <w:rPr>
          <w:rFonts w:ascii="Calibri" w:hAnsi="Calibri"/>
          <w:b w:val="false"/>
          <w:bCs w:val="false"/>
          <w:iCs/>
          <w:sz w:val="26"/>
          <w:szCs w:val="26"/>
        </w:rPr>
        <w:t xml:space="preserve">Presidente 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iCs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</w:t>
      </w:r>
      <w:r>
        <w:rPr>
          <w:rFonts w:ascii="Calibri" w:hAnsi="Calibri"/>
          <w:b/>
          <w:iCs/>
          <w:sz w:val="26"/>
          <w:szCs w:val="26"/>
        </w:rPr>
        <w:t>VEREADOR ALEXANDRE CINTRA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Vice-Presidente</w:t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b/>
          <w:b/>
          <w:iCs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</w:t>
      </w:r>
      <w:r>
        <w:rPr>
          <w:rFonts w:ascii="Calibri" w:hAnsi="Calibri"/>
          <w:b/>
          <w:iCs/>
          <w:sz w:val="26"/>
          <w:szCs w:val="26"/>
        </w:rPr>
        <w:t>VEREADORA MARA CRISTINA CHOQUETTA</w:t>
      </w:r>
    </w:p>
    <w:p>
      <w:pPr>
        <w:pStyle w:val="Normal"/>
        <w:spacing w:before="0" w:after="240"/>
        <w:jc w:val="center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iCs/>
          <w:sz w:val="26"/>
          <w:szCs w:val="26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4</w:t>
    </w:r>
    <w:r>
      <w:rPr>
        <w:color w:val="5B9BD5"/>
      </w:rPr>
      <w:fldChar w:fldCharType="end"/>
    </w:r>
  </w:p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3A45ED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73A45ED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 wp14:anchorId="0FC02A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0FC02A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 wp14:anchorId="0FC02A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0FC02A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RodapChar" w:customStyle="1">
    <w:name w:val="Rodapé Char"/>
    <w:basedOn w:val="DefaultParagraphFont"/>
    <w:uiPriority w:val="99"/>
    <w:qFormat/>
    <w:rsid w:val="00924860"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LibreOffice/7.3.1.3$Windows_X86_64 LibreOffice_project/a69ca51ded25f3eefd52d7bf9a5fad8c90b87951</Application>
  <AppVersion>15.0000</AppVersion>
  <Pages>4</Pages>
  <Words>545</Words>
  <Characters>3029</Characters>
  <CharactersWithSpaces>3573</CharactersWithSpaces>
  <Paragraphs>56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2022-03-17T15:49:00Z</dcterms:created>
  <dc:creator>Secretaria</dc:creator>
  <dc:description/>
  <dc:language>pt-BR</dc:language>
  <cp:lastModifiedBy/>
  <cp:lastPrinted>2022-04-28T10:27:02Z</cp:lastPrinted>
  <dcterms:modified xsi:type="dcterms:W3CDTF">2022-04-28T10:30:06Z</dcterms:modified>
  <cp:revision>6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