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</w:pPr>
      <w:r>
        <w:rPr>
          <w:rFonts w:ascii="Arial" w:eastAsia="Arial" w:hAnsi="Arial" w:cs="Arial"/>
          <w:b/>
          <w:sz w:val="24"/>
          <w:szCs w:val="24"/>
        </w:rPr>
        <w:t xml:space="preserve">PARECER CONJUNTO DAS COMISSÕES DE OBRAS, SERVIÇOS PÚBLICOS E ATIVIDADES PRIVADAS, </w:t>
      </w:r>
      <w:r>
        <w:rPr>
          <w:rFonts w:ascii="Arial" w:eastAsia="Arial" w:hAnsi="Arial" w:cs="Arial"/>
          <w:b/>
          <w:sz w:val="24"/>
          <w:szCs w:val="24"/>
        </w:rPr>
        <w:t>COMISSÃO DE EXAMES DE ASSUNTOS INDUSTRIAIS E COMERCIAIS</w:t>
      </w:r>
      <w:r>
        <w:rPr>
          <w:rFonts w:ascii="Arial" w:eastAsia="Arial" w:hAnsi="Arial" w:cs="Arial"/>
          <w:b/>
          <w:sz w:val="24"/>
          <w:szCs w:val="24"/>
        </w:rPr>
        <w:t xml:space="preserve"> E COMISSÃO DE FINANÇAS E ORÇAMENTO.</w:t>
      </w: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RELATÓRIO</w:t>
      </w:r>
    </w:p>
    <w:p>
      <w:pPr>
        <w:pStyle w:val="Normal1"/>
        <w:spacing w:line="380" w:lineRule="atLeast"/>
      </w:pPr>
      <w:r>
        <w:rPr>
          <w:rFonts w:ascii="Arial" w:eastAsia="Arial" w:hAnsi="Arial" w:cs="Arial"/>
          <w:b/>
          <w:sz w:val="24"/>
          <w:szCs w:val="24"/>
        </w:rPr>
        <w:t xml:space="preserve">Parecer n.º </w:t>
      </w:r>
      <w:r>
        <w:rPr>
          <w:rFonts w:ascii="Arial" w:eastAsia="Arial" w:hAnsi="Arial" w:cs="Arial"/>
          <w:b/>
          <w:sz w:val="24"/>
          <w:szCs w:val="24"/>
        </w:rPr>
        <w:t>7</w:t>
      </w:r>
    </w:p>
    <w:p>
      <w:pPr>
        <w:pStyle w:val="Normal1"/>
        <w:spacing w:line="380" w:lineRule="atLeast"/>
      </w:pPr>
      <w:r>
        <w:rPr>
          <w:rFonts w:ascii="Arial" w:eastAsia="Arial" w:hAnsi="Arial" w:cs="Arial"/>
          <w:b/>
          <w:sz w:val="24"/>
          <w:szCs w:val="24"/>
        </w:rPr>
        <w:t xml:space="preserve">Projeto de Lei </w:t>
      </w:r>
      <w:r>
        <w:rPr>
          <w:rFonts w:ascii="Arial" w:eastAsia="Arial" w:hAnsi="Arial" w:cs="Arial"/>
          <w:b/>
          <w:sz w:val="24"/>
          <w:szCs w:val="24"/>
        </w:rPr>
        <w:t xml:space="preserve">complementar </w:t>
      </w:r>
      <w:r>
        <w:rPr>
          <w:rFonts w:ascii="Arial" w:eastAsia="Arial" w:hAnsi="Arial" w:cs="Arial"/>
          <w:b/>
          <w:sz w:val="24"/>
          <w:szCs w:val="24"/>
        </w:rPr>
        <w:t xml:space="preserve">n.º </w:t>
      </w:r>
      <w:r>
        <w:rPr>
          <w:rFonts w:ascii="Arial" w:eastAsia="Arial" w:hAnsi="Arial" w:cs="Arial"/>
          <w:b/>
          <w:sz w:val="24"/>
          <w:szCs w:val="24"/>
        </w:rPr>
        <w:t>06</w:t>
      </w:r>
      <w:r>
        <w:rPr>
          <w:rFonts w:ascii="Arial" w:eastAsia="Arial" w:hAnsi="Arial" w:cs="Arial"/>
          <w:b/>
          <w:sz w:val="24"/>
          <w:szCs w:val="24"/>
        </w:rPr>
        <w:t xml:space="preserve"> de 202</w:t>
      </w:r>
      <w:r>
        <w:rPr>
          <w:rFonts w:ascii="Arial" w:eastAsia="Arial" w:hAnsi="Arial" w:cs="Arial"/>
          <w:b/>
          <w:sz w:val="24"/>
          <w:szCs w:val="24"/>
        </w:rPr>
        <w:t>1</w:t>
      </w:r>
    </w:p>
    <w:p>
      <w:pPr>
        <w:pStyle w:val="Normal1"/>
        <w:spacing w:line="380" w:lineRule="atLeast"/>
      </w:pPr>
      <w:r>
        <w:rPr>
          <w:rFonts w:ascii="Arial" w:eastAsia="Arial" w:hAnsi="Arial" w:cs="Arial"/>
          <w:b/>
          <w:sz w:val="24"/>
          <w:szCs w:val="24"/>
        </w:rPr>
        <w:t xml:space="preserve">Processo n: </w:t>
      </w:r>
      <w:r>
        <w:rPr>
          <w:rFonts w:ascii="Arial" w:eastAsia="Arial" w:hAnsi="Arial" w:cs="Arial"/>
          <w:b/>
          <w:sz w:val="24"/>
          <w:szCs w:val="24"/>
        </w:rPr>
        <w:t>251</w:t>
      </w:r>
      <w:r>
        <w:rPr>
          <w:rFonts w:ascii="Arial" w:eastAsia="Arial" w:hAnsi="Arial" w:cs="Arial"/>
          <w:b/>
          <w:sz w:val="24"/>
          <w:szCs w:val="24"/>
        </w:rPr>
        <w:t xml:space="preserve"> de 202</w:t>
      </w:r>
      <w:r>
        <w:rPr>
          <w:rFonts w:ascii="Arial" w:eastAsia="Arial" w:hAnsi="Arial" w:cs="Arial"/>
          <w:b/>
          <w:sz w:val="24"/>
          <w:szCs w:val="24"/>
        </w:rPr>
        <w:t>1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Conforme estabelece os artigos </w:t>
      </w:r>
      <w:r>
        <w:rPr>
          <w:rFonts w:ascii="Arial" w:eastAsia="Arial" w:hAnsi="Arial" w:cs="Arial"/>
          <w:sz w:val="24"/>
          <w:szCs w:val="24"/>
        </w:rPr>
        <w:t xml:space="preserve">37,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8 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42</w:t>
      </w:r>
      <w:r>
        <w:rPr>
          <w:rFonts w:ascii="Arial" w:eastAsia="Arial" w:hAnsi="Arial" w:cs="Arial"/>
          <w:sz w:val="24"/>
          <w:szCs w:val="24"/>
        </w:rPr>
        <w:t xml:space="preserve">  do Regimento Interno (Resolução n.º 276 de 09 de novembro de 2.010); é atribuição das referidas comissões emitirem parecer sobre esta proposição apresentada, destaca-se, que, o artigo 45 autoriza que o parecer seja realizado em conjunto,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cuja relatoria ficou a cargo do vereador </w:t>
      </w:r>
      <w:r>
        <w:rPr>
          <w:rFonts w:ascii="Arial" w:eastAsia="Arial" w:hAnsi="Arial" w:cs="Arial"/>
          <w:b/>
          <w:bCs/>
          <w:sz w:val="24"/>
          <w:szCs w:val="24"/>
          <w:u w:val="none"/>
        </w:rPr>
        <w:t>Orivaldo Aparecido Magalhães.</w:t>
      </w:r>
      <w:bookmarkStart w:id="0" w:name="_GoBack"/>
      <w:bookmarkEnd w:id="0"/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eastAsia="Arial" w:hAnsi="Arial" w:cs="Arial"/>
          <w:sz w:val="24"/>
          <w:szCs w:val="24"/>
          <w:u w:val="none"/>
        </w:rPr>
        <w:tab/>
        <w:tab/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 Exposição da Matéria</w:t>
      </w:r>
    </w:p>
    <w:p>
      <w:pPr>
        <w:jc w:val="both"/>
        <w:rPr>
          <w:rFonts w:ascii="Arial" w:eastAsia="Arial" w:hAnsi="Arial" w:cs="Arial"/>
          <w:sz w:val="24"/>
          <w:szCs w:val="24"/>
        </w:rPr>
      </w:pPr>
    </w:p>
    <w:p>
      <w:pPr>
        <w:ind w:left="0" w:right="0" w:firstLine="720"/>
        <w:jc w:val="both"/>
      </w:pPr>
      <w:r>
        <w:rPr>
          <w:rFonts w:ascii="Arial" w:eastAsia="Arial" w:hAnsi="Arial" w:cs="Arial"/>
          <w:sz w:val="24"/>
          <w:szCs w:val="24"/>
        </w:rPr>
        <w:t>O poder executivo encaminhou a esta casa de leis o projeto de lei nº 70 de 2022, que “</w:t>
      </w:r>
      <w:r>
        <w:rPr>
          <w:rFonts w:ascii="Arial" w:eastAsia="Arial" w:hAnsi="Arial" w:cs="Times New Roman"/>
          <w:b/>
          <w:color w:val="00000A"/>
          <w:sz w:val="25"/>
          <w:szCs w:val="25"/>
        </w:rPr>
        <w:t>DISPÕE SOBRE O PLANO DIRETOR DO MUNICÍPIO DE MOGI MIRIM.”</w:t>
      </w:r>
    </w:p>
    <w:p>
      <w:pPr>
        <w:ind w:left="0" w:right="0" w:firstLine="720"/>
        <w:jc w:val="both"/>
      </w:pPr>
      <w:r>
        <w:rPr>
          <w:rFonts w:ascii="Arial" w:hAnsi="Arial"/>
          <w:b w:val="0"/>
          <w:bCs w:val="0"/>
          <w:sz w:val="24"/>
          <w:szCs w:val="24"/>
        </w:rPr>
        <w:t>Na mensagem nº 73/2021 do referido projeto de lei, o executivo informou que em 23 de julho de 2019 foi firmado o</w:t>
      </w:r>
      <w:r>
        <w:rPr>
          <w:rFonts w:ascii="Arial" w:hAnsi="Arial" w:cs="Times New Roman"/>
          <w:b w:val="0"/>
          <w:bCs w:val="0"/>
          <w:sz w:val="24"/>
          <w:szCs w:val="24"/>
        </w:rPr>
        <w:t xml:space="preserve"> Termo de Ajuste de Conduta (TAC), entre o Município de Mogi Mirim e o Ministério Público do Estado de São Paulo, nos autos do Inquérito Civil nº 14.0343.0001611-2014-8 (57/14), na sua Cláusula Primeira estabelece o compromisso da municipalidade em promover a revisão do Plano Diretor do Município, encaminhando ao Legislativo Municipal a proposta de revisão até dezembro de 2021. </w:t>
      </w:r>
    </w:p>
    <w:p>
      <w:pPr>
        <w:ind w:left="0" w:right="0" w:firstLine="720"/>
        <w:jc w:val="both"/>
      </w:pPr>
      <w:r>
        <w:rPr>
          <w:rFonts w:ascii="Arial" w:hAnsi="Arial" w:cs="Times New Roman"/>
          <w:b w:val="0"/>
          <w:bCs w:val="0"/>
          <w:sz w:val="24"/>
          <w:szCs w:val="24"/>
        </w:rPr>
        <w:t xml:space="preserve">O </w:t>
      </w:r>
      <w:r>
        <w:rPr>
          <w:rFonts w:ascii="Arial" w:hAnsi="Arial" w:cs="Times New Roman"/>
          <w:b w:val="0"/>
          <w:bCs w:val="0"/>
          <w:sz w:val="24"/>
          <w:szCs w:val="24"/>
        </w:rPr>
        <w:t xml:space="preserve"> executivo</w:t>
      </w:r>
      <w:r>
        <w:rPr>
          <w:rFonts w:ascii="Arial" w:hAnsi="Arial" w:cs="Times New Roman"/>
          <w:b w:val="0"/>
          <w:bCs w:val="0"/>
          <w:sz w:val="24"/>
          <w:szCs w:val="24"/>
        </w:rPr>
        <w:t xml:space="preserve"> também esclareceu </w:t>
      </w:r>
      <w:r>
        <w:rPr>
          <w:rFonts w:ascii="Arial" w:hAnsi="Arial" w:cs="Times New Roman"/>
          <w:b w:val="0"/>
          <w:bCs w:val="0"/>
          <w:sz w:val="24"/>
          <w:szCs w:val="24"/>
        </w:rPr>
        <w:t>na respectiva mensagem,</w:t>
      </w:r>
      <w:r>
        <w:rPr>
          <w:rFonts w:ascii="Arial" w:hAnsi="Arial" w:cs="Times New Roman"/>
          <w:b w:val="0"/>
          <w:bCs w:val="0"/>
          <w:sz w:val="24"/>
          <w:szCs w:val="24"/>
        </w:rPr>
        <w:t xml:space="preserve"> que este projeto de Revisão do Plano Diretor foi desenvolvido com a participação da comunidade de Mogi Mirim, do corpo técnico da Prefeitura, do setor educacional universitário, de entidades de classe e profissionais e conselhos municipais: Secretaria de Planejamento Urbano, Secretaria de Governo, Secretarias de Obras, Habitação Popular e Mobilidade Urbana, Secretarias de Meio Ambiente e Agricultura, Secretaria de Negócios Jurídicos, Secretaria de Relações Institucionais, Serviço Autônomo de Água e Esgotos, Secretarias de Finanças e de Tecnologia da Informação, Casa da Agricultura, OAB local, ACIMM - Associação Comercial e Industrial de Mogi Mirim, SINCOMERCIO – Sindicato do Comércio Varejista de Bens, Serviços e Turismo de Mogi Mirim, ASEAAMM – Associação dos Engenheiros, Arquitetos e Agrônomos de Mogi Mirim, AETMM – Associação dos Engenheiros e Técnicos de Mogi Mirim, Faculdades FIMI – Faculdade Integrada Maria Imaculada e Faculdade Santa Lúcia, representantes da sociedade civil Arquitetos e Urbanistas, Conselhos Municipais de Habitação, de Política e Desenvolvimento Urbano, de Meio Ambiente, da Pessoa com Deficiência e de Educação.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>II. Do mérito e conclusões do relator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 propositura foi direcionada às comissões de Obras e Serviços Públicos e Atividades Privadas e Comissão </w:t>
      </w:r>
      <w:r>
        <w:rPr>
          <w:rFonts w:ascii="Arial" w:eastAsia="Arial" w:hAnsi="Arial" w:cs="Arial"/>
          <w:sz w:val="24"/>
          <w:szCs w:val="24"/>
        </w:rPr>
        <w:t xml:space="preserve">de Exames de Assunto Industriais e Comerciais e Comissão </w:t>
      </w:r>
      <w:r>
        <w:rPr>
          <w:rFonts w:ascii="Arial" w:eastAsia="Arial" w:hAnsi="Arial" w:cs="Arial"/>
          <w:sz w:val="24"/>
          <w:szCs w:val="24"/>
        </w:rPr>
        <w:t>de Finanças e Orçamento, para análise e emissão de parecer, que optaram pela elaboração do parecer em conjunto, conforme autoriza o regimento interno.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Neste sentido, passamos então a análise da proposição.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Em relação a competência legislativa, a Constituição Federal em seu art. 30, inciso I estabelece que os municípios possuem competência para legislar sobre interesse local. No presente caso, a matéria trata-se de evidente interesse local, portanto, não há vícios de constitucionalidade neste sentido.</w:t>
      </w:r>
    </w:p>
    <w:p>
      <w:pPr>
        <w:pStyle w:val="Normal1"/>
        <w:spacing w:line="271" w:lineRule="auto"/>
        <w:jc w:val="both"/>
      </w:pPr>
      <w:r>
        <w:rPr>
          <w:rFonts w:ascii="Arial" w:eastAsia="Arial" w:hAnsi="Arial" w:cs="Arial"/>
          <w:sz w:val="24"/>
          <w:szCs w:val="24"/>
        </w:rPr>
        <w:tab/>
        <w:t xml:space="preserve">Destaca-se, que, a Constituição Federal, em seu artigo 182 estabelece que o Plano Diretor é obrigatório em cidades com mais de vinte mil habitantes, e salienta que a propriedade cumpre sua função social quando atende às exigências do Plano Diretor, </w:t>
      </w:r>
      <w:r>
        <w:rPr>
          <w:rFonts w:ascii="Arial" w:eastAsia="Arial" w:hAnsi="Arial" w:cs="Arial"/>
          <w:i/>
          <w:iCs/>
          <w:sz w:val="24"/>
          <w:szCs w:val="24"/>
        </w:rPr>
        <w:t>in verbis: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ind w:left="2160" w:firstLine="0"/>
        <w:jc w:val="both"/>
      </w:pPr>
      <w:bookmarkStart w:id="1" w:name="art182"/>
      <w:bookmarkEnd w:id="1"/>
      <w:r>
        <w:rPr>
          <w:rFonts w:ascii="Arial" w:hAnsi="Arial"/>
          <w:sz w:val="21"/>
          <w:szCs w:val="21"/>
        </w:rPr>
        <w:tab/>
        <w:t>(...)</w:t>
      </w:r>
      <w:r>
        <w:rPr>
          <w:rFonts w:ascii="Arial" w:hAnsi="Arial"/>
          <w:sz w:val="21"/>
          <w:szCs w:val="21"/>
        </w:rPr>
        <w:t>Art. 182. A política de desenvolvimento urbano, executada pelo Poder Público municipal, conforme diretrizes gerais fixadas em lei, tem por objetivo ordenar o pleno desenvolvimento das funções sociais da cidade e garantir o bem- estar de seus habitantes.</w:t>
      </w:r>
    </w:p>
    <w:p>
      <w:pPr>
        <w:pStyle w:val="BodyText"/>
        <w:ind w:left="2160" w:right="0" w:firstLine="456"/>
        <w:rPr>
          <w:rFonts w:ascii="Arial" w:hAnsi="Arial"/>
          <w:sz w:val="21"/>
          <w:szCs w:val="21"/>
        </w:rPr>
      </w:pPr>
      <w:bookmarkStart w:id="2" w:name="art182§1"/>
      <w:bookmarkStart w:id="3" w:name="182§1"/>
      <w:bookmarkEnd w:id="2"/>
      <w:bookmarkEnd w:id="3"/>
      <w:r>
        <w:rPr>
          <w:rFonts w:ascii="Arial" w:hAnsi="Arial"/>
          <w:sz w:val="21"/>
          <w:szCs w:val="21"/>
        </w:rPr>
        <w:t xml:space="preserve">§ 1º O plano diretor, aprovado pela Câmara Municipal, obrigatório para cidades com mais de vinte mil habitantes, é o instrumento básico da política de desenvolvimento e de expansão urbana. </w:t>
      </w:r>
    </w:p>
    <w:p>
      <w:pPr>
        <w:pStyle w:val="BodyText"/>
        <w:ind w:left="2160" w:right="0" w:firstLine="456"/>
        <w:rPr>
          <w:rFonts w:ascii="Arial" w:hAnsi="Arial"/>
          <w:sz w:val="21"/>
          <w:szCs w:val="21"/>
        </w:rPr>
      </w:pPr>
      <w:bookmarkStart w:id="4" w:name="art182§2"/>
      <w:bookmarkEnd w:id="4"/>
      <w:r>
        <w:rPr>
          <w:rFonts w:ascii="Arial" w:hAnsi="Arial"/>
          <w:sz w:val="21"/>
          <w:szCs w:val="21"/>
        </w:rPr>
        <w:t xml:space="preserve">§ 2º A propriedade urbana cumpre sua função social quando atende às exigências fundamentais de ordenação da cidade expressas no plano diretor. </w:t>
      </w:r>
      <w:r>
        <w:rPr>
          <w:rFonts w:ascii="Arial" w:hAnsi="Arial"/>
          <w:sz w:val="21"/>
          <w:szCs w:val="21"/>
        </w:rPr>
        <w:t>(...)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Deste modo, sendo o município de Mogi-Mirim/SP, uma cidade com mais de noventa e três mil habitantes, é obrigatória a elaboração e a revisão do Plano Diretor quando necessária. </w:t>
      </w:r>
    </w:p>
    <w:p>
      <w:pPr>
        <w:pStyle w:val="Normal1"/>
        <w:spacing w:line="271" w:lineRule="auto"/>
        <w:ind w:left="0" w:right="0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mérito, ao analisarmos o processo, bem como os demais documentos anexos, entendemos que o mesmo possui exposições que merecem prosperar, tendo em vista que se trata </w:t>
      </w:r>
      <w:r>
        <w:rPr>
          <w:rFonts w:ascii="Arial" w:eastAsia="Arial" w:hAnsi="Arial" w:cs="Arial"/>
          <w:sz w:val="24"/>
          <w:szCs w:val="24"/>
        </w:rPr>
        <w:t xml:space="preserve">de um projeto </w:t>
      </w:r>
      <w:r>
        <w:rPr>
          <w:rFonts w:ascii="Arial" w:eastAsia="Arial" w:hAnsi="Arial" w:cs="Arial"/>
          <w:sz w:val="24"/>
          <w:szCs w:val="24"/>
        </w:rPr>
        <w:t xml:space="preserve">de lei </w:t>
      </w:r>
      <w:r>
        <w:rPr>
          <w:rFonts w:ascii="Arial" w:eastAsia="Arial" w:hAnsi="Arial" w:cs="Arial"/>
          <w:sz w:val="24"/>
          <w:szCs w:val="24"/>
        </w:rPr>
        <w:t xml:space="preserve">que visa modificar </w:t>
      </w:r>
      <w:r>
        <w:rPr>
          <w:rFonts w:ascii="Arial" w:eastAsia="Arial" w:hAnsi="Arial" w:cs="Arial"/>
          <w:sz w:val="24"/>
          <w:szCs w:val="24"/>
        </w:rPr>
        <w:t>alguns</w:t>
      </w:r>
      <w:r>
        <w:rPr>
          <w:rFonts w:ascii="Arial" w:eastAsia="Arial" w:hAnsi="Arial" w:cs="Arial"/>
          <w:sz w:val="24"/>
          <w:szCs w:val="24"/>
        </w:rPr>
        <w:t xml:space="preserve"> zoneamento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da cidade, </w:t>
      </w:r>
      <w:r>
        <w:rPr>
          <w:rFonts w:ascii="Arial" w:eastAsia="Arial" w:hAnsi="Arial" w:cs="Arial"/>
          <w:sz w:val="24"/>
          <w:szCs w:val="24"/>
        </w:rPr>
        <w:t>transformando</w:t>
      </w:r>
      <w:r>
        <w:rPr>
          <w:rFonts w:ascii="Arial" w:eastAsia="Arial" w:hAnsi="Arial" w:cs="Arial"/>
          <w:sz w:val="24"/>
          <w:szCs w:val="24"/>
        </w:rPr>
        <w:t xml:space="preserve"> algumas localidades como zona de expansão urbana, zona de desenvolvimento estratégico, dentre outras </w:t>
      </w:r>
      <w:r>
        <w:rPr>
          <w:rFonts w:ascii="Arial" w:eastAsia="Arial" w:hAnsi="Arial" w:cs="Arial"/>
          <w:sz w:val="24"/>
          <w:szCs w:val="24"/>
        </w:rPr>
        <w:t>modalidades de zonamento previstas no mesmo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>
      <w:pPr>
        <w:pStyle w:val="Normal1"/>
        <w:spacing w:line="271" w:lineRule="auto"/>
        <w:ind w:left="0" w:right="0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Desta forma, entendemos que a</w:t>
      </w:r>
      <w:r>
        <w:rPr>
          <w:rFonts w:ascii="Arial" w:eastAsia="Arial" w:hAnsi="Arial" w:cs="Arial"/>
          <w:sz w:val="24"/>
          <w:szCs w:val="24"/>
        </w:rPr>
        <w:t xml:space="preserve"> mudança no zoneamento </w:t>
      </w:r>
      <w:r>
        <w:rPr>
          <w:rFonts w:ascii="Arial" w:eastAsia="Arial" w:hAnsi="Arial" w:cs="Arial"/>
          <w:sz w:val="24"/>
          <w:szCs w:val="24"/>
        </w:rPr>
        <w:t xml:space="preserve">em determinadas localidades </w:t>
      </w:r>
      <w:r>
        <w:rPr>
          <w:rFonts w:ascii="Arial" w:eastAsia="Arial" w:hAnsi="Arial" w:cs="Arial"/>
          <w:sz w:val="24"/>
          <w:szCs w:val="24"/>
        </w:rPr>
        <w:t>contribuirá para o desenvolvimento do município, pois atrairá comércios, empres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indústrias, o que fará com que aumente a empregabilidade na cidade, bem como a arrecadação de tributos para o município, </w:t>
      </w:r>
      <w:r>
        <w:rPr>
          <w:rFonts w:ascii="Arial" w:eastAsia="Arial" w:hAnsi="Arial" w:cs="Arial"/>
          <w:sz w:val="24"/>
          <w:szCs w:val="24"/>
        </w:rPr>
        <w:t>fazendo com que ocorra o</w:t>
      </w:r>
      <w:r>
        <w:rPr>
          <w:rFonts w:ascii="Arial" w:eastAsia="Arial" w:hAnsi="Arial" w:cs="Arial"/>
          <w:sz w:val="24"/>
          <w:szCs w:val="24"/>
        </w:rPr>
        <w:t xml:space="preserve"> aumento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 receita, de modo que o município passará a ter mais recursos para atender o interesse público.</w:t>
      </w:r>
    </w:p>
    <w:p>
      <w:pPr>
        <w:pStyle w:val="Normal1"/>
        <w:spacing w:line="271" w:lineRule="auto"/>
        <w:ind w:left="0" w:right="0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Além disso, outras diretrizes e normas previstas na revisão do plano diretor também são plausíveis, </w:t>
      </w:r>
      <w:r>
        <w:rPr>
          <w:rFonts w:ascii="Arial" w:eastAsia="Arial" w:hAnsi="Arial" w:cs="Arial"/>
          <w:sz w:val="24"/>
          <w:szCs w:val="24"/>
        </w:rPr>
        <w:t>tendo em</w:t>
      </w:r>
      <w:r>
        <w:rPr>
          <w:rFonts w:ascii="Arial" w:eastAsia="Arial" w:hAnsi="Arial" w:cs="Arial"/>
          <w:sz w:val="24"/>
          <w:szCs w:val="24"/>
        </w:rPr>
        <w:t xml:space="preserve"> vista que objetivam alcançar o bem comum. 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Desta forma, </w:t>
      </w:r>
      <w:r>
        <w:rPr>
          <w:rFonts w:ascii="Arial" w:eastAsia="Arial" w:hAnsi="Arial" w:cs="Arial"/>
          <w:sz w:val="24"/>
          <w:szCs w:val="24"/>
        </w:rPr>
        <w:t>considerando as atribuições das referidas comissões,</w:t>
      </w:r>
      <w:r>
        <w:rPr>
          <w:rFonts w:ascii="Arial" w:eastAsia="Arial" w:hAnsi="Arial" w:cs="Arial"/>
          <w:sz w:val="24"/>
          <w:szCs w:val="24"/>
        </w:rPr>
        <w:t xml:space="preserve"> não se vislumbra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 irregularidades na propositura ora analisada, motivo pelo qual não se verifica óbices para continuidade da proposta apresentada pelo Executivo.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>
      <w:pPr>
        <w:spacing w:line="271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>
        <w:rPr>
          <w:rFonts w:ascii="Arial" w:eastAsia="Arial" w:hAnsi="Arial" w:cs="Arial"/>
          <w:b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As Comissões não propõem qualquer alteração ao projeto de lei em análise.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IV. Decisão das Comissões</w:t>
      </w:r>
    </w:p>
    <w:p>
      <w:pPr>
        <w:pStyle w:val="Normal1"/>
        <w:spacing w:line="271" w:lineRule="auto"/>
        <w:jc w:val="both"/>
      </w:pPr>
      <w:r>
        <w:rPr>
          <w:rFonts w:ascii="Arial" w:eastAsia="Arial" w:hAnsi="Arial" w:cs="Arial"/>
          <w:sz w:val="24"/>
          <w:szCs w:val="24"/>
        </w:rPr>
        <w:tab/>
        <w:t xml:space="preserve">Neste sentido, levando em conta todo o exposto, encaminhamos o presente projeto de lei para deliberação e votação do Douto Plenário desta casa, emitindo parecer </w:t>
      </w:r>
      <w:r>
        <w:rPr>
          <w:rFonts w:ascii="Arial" w:eastAsia="Arial" w:hAnsi="Arial" w:cs="Arial"/>
          <w:b/>
          <w:bCs/>
          <w:sz w:val="24"/>
          <w:szCs w:val="24"/>
        </w:rPr>
        <w:t>FAVORÁVEL.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Sala das Comissões, 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16 de maio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 de 2022.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COMISSÃO DE OBRAS, SERVIÇOS PÚBLICOS E ATIVIDADES PRIVADAS.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Vereador Orivaldo Aparecido Magalhães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Presidente/Relator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Vereador Geraldo Vicente Bertanha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Vice-Presidente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Vereador Ademir Souza Floretti Junior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Membro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COMISSÃO DE ASSUNTOS INDUSTRIAIS E COMERCIAIS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Vereador  Orivaldo Aparecido Magalhães 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  <w:r>
        <w:rPr>
          <w:rFonts w:ascii="Arial" w:eastAsia="Arial" w:hAnsi="Arial" w:cs="Arial"/>
          <w:b w:val="0"/>
          <w:bCs w:val="0"/>
          <w:sz w:val="24"/>
          <w:szCs w:val="24"/>
        </w:rPr>
        <w:t>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Vereador Dirceu da Silva Paulino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Vice-Presidente 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Vereador  Marcos Paulo Cegatti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  <w:r>
        <w:rPr>
          <w:rFonts w:ascii="Arial" w:eastAsia="Arial" w:hAnsi="Arial" w:cs="Arial"/>
          <w:b w:val="0"/>
          <w:bCs w:val="0"/>
          <w:sz w:val="24"/>
          <w:szCs w:val="24"/>
        </w:rPr>
        <w:t>Membro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COMISSÃO DE FINANÇAS E ORÇAMENTO</w:t>
      </w: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Marcos Paulo Cegatti</w:t>
      </w:r>
    </w:p>
    <w:p>
      <w:pPr>
        <w:pStyle w:val="Normal1"/>
        <w:spacing w:line="380" w:lineRule="atLeast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Presidente 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Vereador Alexandre Cintra</w:t>
      </w: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Vice- Presidente</w:t>
      </w: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Vereadora Mara Cristina Choqueta</w:t>
      </w: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Membro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left="0" w:right="360" w:firstLine="0"/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858125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  <w:r>
      <w:rPr>
        <w:rFonts w:ascii="Arial" w:eastAsia="Arial" w:hAnsi="Arial" w:cs="Arial"/>
        <w:color w:val="000000"/>
      </w:rPr>
      <w:t xml:space="preserve"> – Parecer ao Projeto de Lei </w:t>
    </w:r>
    <w:r>
      <w:rPr>
        <w:rFonts w:ascii="Arial" w:eastAsia="Arial" w:hAnsi="Arial" w:cs="Arial"/>
        <w:color w:val="000000"/>
      </w:rPr>
      <w:t>Complementar 06</w:t>
    </w:r>
    <w:r>
      <w:rPr>
        <w:rFonts w:ascii="Arial" w:eastAsia="Arial" w:hAnsi="Arial" w:cs="Arial"/>
        <w:color w:val="000000"/>
      </w:rPr>
      <w:t xml:space="preserve"> de 202</w:t>
    </w:r>
    <w:r>
      <w:rPr>
        <w:rFonts w:ascii="Arial" w:eastAsia="Arial" w:hAnsi="Arial" w:cs="Arial"/>
        <w:color w:val="000000"/>
      </w:rPr>
      <w:t>1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kinsoku/>
      <w:overflowPunct/>
      <w:autoSpaceDE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paragraph" w:customStyle="1" w:styleId="Heading1">
    <w:name w:val="Heading 1"/>
    <w:basedOn w:val="Normal1"/>
    <w:qFormat/>
    <w:pPr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qFormat/>
    <w:pPr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qFormat/>
    <w:pPr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qFormat/>
    <w:pPr>
      <w:numPr>
        <w:ilvl w:val="0"/>
        <w:numId w:val="0"/>
      </w:numPr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qFormat/>
    <w:pPr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qFormat/>
    <w:pPr>
      <w:numPr>
        <w:ilvl w:val="0"/>
        <w:numId w:val="0"/>
      </w:numPr>
      <w:spacing w:before="200" w:after="40"/>
      <w:outlineLvl w:val="5"/>
    </w:pPr>
    <w:rPr>
      <w:b/>
    </w:rPr>
  </w:style>
  <w:style w:type="character" w:styleId="Strong">
    <w:name w:val="Strong"/>
    <w:basedOn w:val="DefaultParagraphFont"/>
    <w:qFormat/>
    <w:rPr>
      <w:b/>
    </w:rPr>
  </w:style>
  <w:style w:type="character" w:customStyle="1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qFormat/>
  </w:style>
  <w:style w:type="character" w:customStyle="1" w:styleId="CabealhoChar">
    <w:name w:val="Cabeçalho Char"/>
    <w:basedOn w:val="DefaultParagraphFont"/>
    <w:qFormat/>
  </w:style>
  <w:style w:type="character" w:customStyle="1" w:styleId="apple-tab-span">
    <w:name w:val="apple-tab-span"/>
    <w:basedOn w:val="DefaultParagraphFont"/>
    <w:qFormat/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1"/>
    <w:qFormat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customStyle="1" w:styleId="Normal1">
    <w:name w:val="Normal1"/>
    <w:qFormat/>
    <w:pPr>
      <w:widowControl/>
      <w:suppressAutoHyphens/>
      <w:kinsoku/>
      <w:overflowPunct/>
      <w:autoSpaceDE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Normal2">
    <w:name w:val="Normal2"/>
    <w:qFormat/>
    <w:pPr>
      <w:widowControl/>
      <w:suppressAutoHyphens/>
      <w:kinsoku/>
      <w:overflowPunct/>
      <w:autoSpaceDE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1001</Words>
  <Characters>5617</Characters>
  <Application>Microsoft Office Word</Application>
  <DocSecurity>0</DocSecurity>
  <Lines>0</Lines>
  <Paragraphs>55</Paragraphs>
  <ScaleCrop>false</ScaleCrop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16</cp:revision>
  <cp:lastPrinted>2022-05-16T16:54:26Z</cp:lastPrinted>
  <dcterms:created xsi:type="dcterms:W3CDTF">2022-04-20T14:52:00Z</dcterms:created>
  <dcterms:modified xsi:type="dcterms:W3CDTF">2022-05-16T16:55:46Z</dcterms:modified>
  <dc:language>pt-BR</dc:language>
  <cp:version>9.103.88.44548</cp:version>
</cp:coreProperties>
</file>