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2" w:color="000000"/>
          <w:right w:val="single" w:sz="6" w:space="1" w:color="000000"/>
        </w:pBdr>
        <w:jc w:val="both"/>
        <w:rPr>
          <w:sz w:val="26"/>
          <w:szCs w:val="26"/>
        </w:rPr>
      </w:pPr>
      <w:r>
        <w:rPr>
          <w:b/>
          <w:sz w:val="24"/>
          <w:szCs w:val="24"/>
        </w:rPr>
        <w:t>ASSUNTO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 xml:space="preserve">Indico ao senhor prefeito, que por meio da secretaria competente, </w:t>
      </w:r>
      <w:r>
        <w:rPr>
          <w:sz w:val="26"/>
          <w:szCs w:val="26"/>
        </w:rPr>
        <w:t>estude a possibilidade de implantar a Delegacia Eletrônica na GCM, para atender a população mogimiriana que não tem fácil acesso ao serviço online.</w:t>
      </w:r>
    </w:p>
    <w:p>
      <w:pPr>
        <w:pBdr>
          <w:top w:val="single" w:sz="6" w:space="1" w:color="000000"/>
          <w:left w:val="single" w:sz="6" w:space="0" w:color="000000"/>
          <w:bottom w:val="single" w:sz="6" w:space="2" w:color="000000"/>
          <w:right w:val="single" w:sz="6" w:space="1" w:color="000000"/>
        </w:pBdr>
        <w:jc w:val="both"/>
        <w:rPr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2" w:color="000000"/>
          <w:right w:val="single" w:sz="6" w:space="1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2" w:color="000000"/>
          <w:right w:val="single" w:sz="6" w:space="1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2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2" w:color="000000"/>
          <w:right w:val="single" w:sz="6" w:space="1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2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Nº </w:t>
      </w:r>
      <w:bookmarkStart w:id="0" w:name="_GoBack"/>
      <w:bookmarkEnd w:id="0"/>
      <w:r>
        <w:rPr>
          <w:b/>
          <w:sz w:val="24"/>
          <w:szCs w:val="24"/>
        </w:rPr>
        <w:t xml:space="preserve">      DE 202</w:t>
      </w:r>
      <w:r>
        <w:rPr>
          <w:b/>
          <w:sz w:val="24"/>
          <w:szCs w:val="24"/>
        </w:rPr>
        <w:t>2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 VEREADORES,</w:t>
      </w:r>
    </w:p>
    <w:p>
      <w:pPr>
        <w:rPr>
          <w:b/>
          <w:sz w:val="24"/>
          <w:szCs w:val="24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INDICO </w:t>
      </w:r>
      <w:r>
        <w:rPr>
          <w:sz w:val="26"/>
          <w:szCs w:val="26"/>
        </w:rPr>
        <w:t xml:space="preserve">na forma regimental, e depois de ouvido o Douto Plenário desta Casa, que seja oficiado o prefeito Paulo de Oliveira e Silva para que, por meio da secretaria competente, </w:t>
      </w:r>
      <w:r>
        <w:rPr>
          <w:sz w:val="26"/>
          <w:szCs w:val="26"/>
        </w:rPr>
        <w:t xml:space="preserve">implante o serviço de Delegacia Eletrônica na GCM – Guarda Civil Municipal – de Mogi Mirim. 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Há uma série de ocorrências policiais pode ser registrada online, evitando que as equipes da GCM se desloquem para a delegacia, principalmente no período noturno, feriados e finais de semana, que os boletins de ocorrências devem ser registrados em Mogi Guaçu.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Em contato com o secretário municipal de segurança, Luiz Carlos Pinto houve a confirmação que há efetivo que pode auxiliar na implantação e operação do serviço, caso seja oferecido pela Guarda Municipal.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 ideia é que sejam disponibilizado</w:t>
      </w:r>
      <w:r>
        <w:rPr>
          <w:sz w:val="26"/>
          <w:szCs w:val="26"/>
        </w:rPr>
        <w:t>s</w:t>
      </w:r>
      <w:r>
        <w:rPr>
          <w:sz w:val="26"/>
          <w:szCs w:val="26"/>
        </w:rPr>
        <w:t xml:space="preserve"> equipamentos, dentro da sede da GCM, com acesso à Delegacia Eletrônica do Estado de São Paulo, </w:t>
      </w:r>
      <w:r>
        <w:rPr>
          <w:sz w:val="26"/>
          <w:szCs w:val="26"/>
        </w:rPr>
        <w:t xml:space="preserve">pelo endereço: </w:t>
      </w:r>
      <w:hyperlink r:id="rId5" w:history="1">
        <w:r>
          <w:rPr>
            <w:rStyle w:val="LinkdaInternet"/>
            <w:sz w:val="26"/>
            <w:szCs w:val="26"/>
          </w:rPr>
          <w:t>Comunicar Ocorrência - Delegacia Eletrônica (policiacivil.sp.gov.br)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para que a população tenha a possibilidade de agilizar o registro dos boletins de ocorrência, </w:t>
      </w:r>
      <w:r>
        <w:rPr>
          <w:sz w:val="26"/>
          <w:szCs w:val="26"/>
        </w:rPr>
        <w:t>sem precisar ir à delegacia presencialmente. Além disso, a pessoa terá a possibilidade de ter orientação dos próprios guardas para o registro do documento.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proposta atenderá, principalmente as pessoas sem computador em casa e também os próprios guardas municipais que poderão agilizar o registro de uma ocorrência, sem deslocamento para outra cidade, quando o caso não for flagrante delito. </w:t>
      </w:r>
      <w:r>
        <w:rPr>
          <w:sz w:val="26"/>
          <w:szCs w:val="26"/>
        </w:rPr>
        <w:t>E que, no futuro, também seja oferecido este serviço na unidade da Base Móvel da GCM.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As o</w:t>
      </w:r>
      <w:r>
        <w:t xml:space="preserve">corrências que PODEM ser Registradas Online </w:t>
      </w:r>
      <w:r>
        <w:t>são: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Roubo ou Furto de Veículos;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Furto de Documentos/Celular/Placa de Veículo/Bicicleta;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Perda de Documentos/Celular/Placa de Veículo;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Roubo de Documentos, Celulares e/ou Objetos;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Injúria, Calúnia ou Difamação;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Acidente de Trânsito Sem Vítimas;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Desaparecimento de Pessoas;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Encontro de Pessoas;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Furto de Fios/Cabos em vias públicas (somente para empresas concessionárias);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Violência Doméstica;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Outras Ocorrências;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t>DEPA - Proteção Animal.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72610" cy="326072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73998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maio</w:t>
      </w:r>
      <w:r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JORNALISTA GERALDO VICENTE BERTANHA (GEBÊ)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DA CÂMARA MUNICIPAL</w:t>
      </w:r>
    </w:p>
    <w:p>
      <w:pPr>
        <w:jc w:val="center"/>
        <w:rPr>
          <w:b/>
          <w:sz w:val="24"/>
          <w:szCs w:val="24"/>
        </w:rPr>
      </w:pPr>
      <w:r>
        <w:t xml:space="preserve">  </w:t>
      </w:r>
    </w:p>
    <w:sectPr>
      <w:headerReference w:type="even" r:id="rId7"/>
      <w:headerReference w:type="default" r:id="rId8"/>
      <w:footerReference w:type="default" r:id="rId9"/>
      <w:headerReference w:type="first" r:id="rId10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997214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92789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05328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838294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sid w:val="0098314D"/>
    <w:rPr>
      <w:b/>
      <w:bCs/>
    </w:rPr>
  </w:style>
  <w:style w:type="character" w:customStyle="1" w:styleId="TextodebaloChar">
    <w:name w:val="Texto de balão Char"/>
    <w:link w:val="BalloonText"/>
    <w:qFormat/>
    <w:rsid w:val="000F5C7F"/>
    <w:rPr>
      <w:rFonts w:ascii="Segoe UI" w:hAnsi="Segoe UI" w:cs="Segoe UI"/>
      <w:sz w:val="18"/>
      <w:szCs w:val="1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qFormat/>
    <w:rsid w:val="001700F3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667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delegaciaeletronica.policiacivil.sp.gov.br/ssp-de-cidadao/pages/comunicar-ocorrencia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7378-2493-4560-8B58-513A4849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2257</Characters>
  <Application>Microsoft Office Word</Application>
  <DocSecurity>0</DocSecurity>
  <Lines>0</Lines>
  <Paragraphs>34</Paragraphs>
  <ScaleCrop>false</ScaleCrop>
  <Company>Camara Municipal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2021-02-03T12:45:00Z</cp:lastPrinted>
  <dcterms:created xsi:type="dcterms:W3CDTF">2021-06-23T13:55:00Z</dcterms:created>
  <dcterms:modified xsi:type="dcterms:W3CDTF">2022-05-20T10:31:37Z</dcterms:modified>
  <dc:language>pt-BR</dc:language>
</cp:coreProperties>
</file>