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/2022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67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98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2022.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Conforme determina os artigos 35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, 38 e 39, combinados com o artigo 45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da Resolução 276 de 09 de novembro de 2010 – Regimento Interno da Câmara Municipal, a Comissão Permanente de Justiça e Redação,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conjuntamente com as Comissões Permanentes de Educação, Saúde, Cultura, Esporte e Assistência Social e de Obras, Serviços Públicos e Atividades Privadas emitem o presente Relatório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acerca do Projeto de Lei n.º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67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/2022, de autoria do Exmo.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Sr. Prefeito Municipal, sob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a relatoria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do Vereador João Victor  Gasparini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.</w:t>
      </w:r>
    </w:p>
    <w:p w:rsidR="00000000" w:rsidRPr="00000000" w:rsidP="00000000" w14:paraId="00000008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B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O Excelentíssimo Senhor Prefeito Dr. Paulo de Oliveira e Silva encaminha a esta Casa de Leis o Projeto de Lei n.º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67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/2022, que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“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Dispõe sobre tombamento, como Patrimônio Histórico e Arquitetônico do Município de Mogi Mirim, imóvel que especifica, e dá outras providências".</w:t>
      </w:r>
    </w:p>
    <w:p w:rsidR="00000000" w:rsidRPr="00000000" w:rsidP="00000000" w14:paraId="0000000C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ab/>
      </w:r>
    </w:p>
    <w:p w:rsidR="00000000" w:rsidRPr="00000000" w:rsidP="00000000" w14:paraId="0000000D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 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Trata-se de tombamento de imóvel localizado na rua Dr. Ulhoa Cintra, n° 399, no centro de Mogi Mirim. O objetivo do tombamento é garantir a preservação histórica do prédio, além de abrigar um espaço cultural na forma de um museu e oficinas de cunho cultural e artístico, voltado para crianças e adultos que não possuem condições de custear cursos de formação e aprimoramento com recursos próprios. 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F">
      <w:pPr>
        <w:ind w:firstLine="708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O tombamento do imóvel que trata o projeto em análise tem como requerentes os proprietários do imóvel, que comprovam a titularidade do mesmo nas folhas de 8 a 15, anexadas ao projeto. Além da comprovação de titularidade, o projeto traz em seu processo os pareceres favoráveis da Secretaria de Planejamento urbano (folha 16); do Centro de Documentação Histórica “Joaquim Firmino de Araújo Cunha” - CEDOCH (Folha 28); do Conselho Municipal de Política Cultural de Mogi Mirim (folha 29); do Conselho Municipal do Patrimônio Histórico Cultural de Mogi Mirim - COMPHAC (folha 30) e do Conselho Municipal de Turismo - COMTUR (folha 31).   </w:t>
      </w:r>
    </w:p>
    <w:p w:rsidR="00000000" w:rsidRPr="00000000" w:rsidP="00000000" w14:paraId="00000010">
      <w:pPr>
        <w:ind w:firstLine="708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2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3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ab/>
        <w:t>Em análise técnica da matéria, denota-se que não existem óbices jurídicos para tramitação da propositura, posto que a mesma não apresenta mácula em seu bojo.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ab/>
        <w:t>Trata-se de um assunto de competência legislativa do Município, conforme determina o artigo 30, inciso I e IX da Constituição Federal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:</w:t>
      </w: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7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8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I - legislar sobre assuntos de interesse local;</w:t>
      </w:r>
    </w:p>
    <w:p w:rsidR="00000000" w:rsidRPr="00000000" w:rsidP="00000000" w14:paraId="00000019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(...)</w:t>
      </w:r>
    </w:p>
    <w:p w:rsidR="00000000" w:rsidRPr="00000000" w:rsidP="00000000" w14:paraId="0000001A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>IX - promover a proteção do patrimônio histórico-cultural local, observada a legislação e a ação fiscalizadora federal e estadual</w:t>
      </w: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”</w:t>
      </w:r>
    </w:p>
    <w:p w:rsidR="00000000" w:rsidRPr="00000000" w:rsidP="00000000" w14:paraId="0000001B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No tocante à competência material, a Constituição Federal determina no art. 23, III, IV e V, ser comum a todos os entes federados:</w:t>
      </w:r>
    </w:p>
    <w:p w:rsidR="00000000" w:rsidRPr="00000000" w:rsidP="00000000" w14:paraId="0000001C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 xml:space="preserve">“Art. 23. É competência comum da União, dos Estados, do Distrito Federal e dos Municípios: </w:t>
      </w:r>
    </w:p>
    <w:p w:rsidR="00000000" w:rsidRPr="00000000" w:rsidP="00000000" w14:paraId="0000001D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(...)</w:t>
      </w:r>
    </w:p>
    <w:p w:rsidR="00000000" w:rsidRPr="00000000" w:rsidP="00000000" w14:paraId="0000001E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III - proteger os documentos, as obras e outros bens de valor histórico, artístico e cultural, os monumentos, as paisagens naturais notáveis e os sítios arqueológicos;</w:t>
      </w:r>
    </w:p>
    <w:p w:rsidR="00000000" w:rsidRPr="00000000" w:rsidP="00000000" w14:paraId="0000001F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IV - impedir a evasão, a destruição e a descaracterização de obras de arte e de outros bens de valor histórico, artístico ou cultural;</w:t>
      </w:r>
    </w:p>
    <w:p w:rsidR="00000000" w:rsidRPr="00000000" w:rsidP="00000000" w14:paraId="00000020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>V - proporcionar os meios de acesso à cultura, à educação, à ciência, à tecnologia, à pesquisa e à inovação;’’</w:t>
      </w:r>
    </w:p>
    <w:p w:rsidR="00000000" w:rsidRPr="00000000" w:rsidP="00000000" w14:paraId="00000021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Em face do exposto, percebe-se que a Constituição Federal evidenciou de forma clara a sua preocupação com o meio ambiente cultural, dando tratamento amplo ao tema e atribuindo a todos os entes competência material e legislativa. </w:t>
      </w:r>
    </w:p>
    <w:p w:rsidR="00000000" w:rsidRPr="00000000" w:rsidP="00000000" w14:paraId="00000022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3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Para mais, a Lei Orgânica do Município de Mogi Mirim, em seu artigo 232 prevê que:  </w:t>
      </w:r>
    </w:p>
    <w:p w:rsidR="00000000" w:rsidRPr="00000000" w:rsidP="00000000" w14:paraId="00000024">
      <w:pPr>
        <w:ind w:left="2880" w:firstLine="708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“Art. 232. A lei estimulará, mediante mecanismos específicos, os empreendimentos privados que se voltem à preservação e à restauração do patrimônio cultural do Município, bem como incentivará os proprietários de bens culturais tombados que atendam às recomendações de preservação do patrimônio cultural.”</w:t>
      </w:r>
    </w:p>
    <w:p w:rsidR="00000000" w:rsidRPr="00000000" w:rsidP="00000000" w14:paraId="00000025">
      <w:pPr>
        <w:ind w:left="2880" w:firstLine="708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000000" w:rsidRPr="00000000" w:rsidP="00000000" w14:paraId="00000026">
      <w:pPr>
        <w:ind w:firstLine="708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Vale ressaltar que a Lei Orgânica do Município ainda prevê no inciso II do parágrafo 6° do artigo 61 a obrigatoriedade de audiência pública em análise de questões que envolvam conservação ou modificação do patrimônio arquitetônico, histórico, artístico ou cultural do Município. Em conformidade com a LOM, ressaltamos nas folhas 18 a 26 o convite para a audiência pública sobre o processo de tombamento, realizada em 10 de fevereiro de 2022 no Teatro Municipal “Tóride S. Celegatti”, bem como a publicidade dada à audiência e ao processo de tombamento, conforme determina o artigo 61 da LOM. </w:t>
      </w:r>
    </w:p>
    <w:p w:rsidR="00000000" w:rsidRPr="00000000" w:rsidP="00000000" w14:paraId="00000027">
      <w:pPr>
        <w:ind w:firstLine="708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8">
      <w:pPr>
        <w:ind w:firstLine="708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Ainda sobre a legalidade do projeto, a propositura apresenta conformidade com a Lei Municipal n° 5.542 de 2014 que dispõe sobre o processo de tombamento de bens no Município de Mogi Mirim: </w:t>
      </w:r>
    </w:p>
    <w:p w:rsidR="00000000" w:rsidRPr="00000000" w:rsidP="00000000" w14:paraId="00000029">
      <w:pPr>
        <w:shd w:val="clear" w:color="auto" w:fill="FFFFFF"/>
        <w:spacing w:after="160"/>
        <w:ind w:left="2880" w:firstLine="72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“</w:t>
      </w: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Art. 6º O tombamento poderá ser voluntário ou compulsório.</w:t>
      </w:r>
    </w:p>
    <w:p w:rsidR="00000000" w:rsidRPr="00000000" w:rsidP="00000000" w14:paraId="0000002A">
      <w:pPr>
        <w:shd w:val="clear" w:color="auto" w:fill="FFFFFF"/>
        <w:spacing w:after="160"/>
        <w:ind w:left="2880" w:firstLine="72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Art. 7º O tombamento do bem será:</w:t>
      </w:r>
    </w:p>
    <w:p w:rsidR="00000000" w:rsidRPr="00000000" w:rsidP="00000000" w14:paraId="0000002B">
      <w:pPr>
        <w:shd w:val="clear" w:color="auto" w:fill="FFFFFF"/>
        <w:spacing w:before="0" w:after="160"/>
        <w:ind w:left="2880" w:firstLine="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I - voluntário, quando decorrer de proposta do proprietário e o bem se revestir dos requisitos necessários para integrar o Patrimônio Cultural do Município;”</w:t>
      </w:r>
    </w:p>
    <w:p w:rsidR="00000000" w:rsidRPr="00000000" w:rsidP="00000000" w14:paraId="0000002C">
      <w:pPr>
        <w:shd w:val="clear" w:color="auto" w:fill="FFFFFF"/>
        <w:spacing w:before="0" w:after="16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ab/>
        <w:t xml:space="preserve">Conforme mencionado neste relatório, o projeto de lei em análise trata-se de um processo de tombamento voluntário, onde a proposta decorre dos proprietários do imóvel, com a titularidade comprovada nas folhas de 8 a 15, anexadas ao projeto, conforme determina o parágrafo 1° do artigo 12 da Lei Municipal n° 5.542 de 2014. </w:t>
      </w:r>
    </w:p>
    <w:p w:rsidR="00000000" w:rsidRPr="00000000" w:rsidP="00000000" w14:paraId="0000002D">
      <w:pPr>
        <w:shd w:val="clear" w:color="auto" w:fill="FFFFFF"/>
        <w:spacing w:before="0" w:after="16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A referida Lei Municipal, em seu artigo 9 prevê que </w:t>
      </w: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 xml:space="preserve"> o “chefe do Poder Executivo deverá solicitar ao Conselho, e anexar à mensagem, parecer referente à proposta de tombamento antes de enviá-la ao Legislativo”. </w:t>
      </w: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Neste aspecto, o Projeto de Lei ora analisado garante conformidade com a legislação municipal, contendo em seu processo os pareceres favoráveis, como já mencionado,  do Conselho Municipal de Política Cultural de Mogi Mirim (folha 29); do Conselho Municipal do Patrimônio Histórico Cultural de Mogi Mirim - COMPHAC (folha 30) e do Conselho Municipal de Turismo - COMTUR (folha 31).</w:t>
      </w:r>
    </w:p>
    <w:p w:rsidR="00000000" w:rsidRPr="00000000" w:rsidP="00000000" w14:paraId="0000002E">
      <w:pPr>
        <w:shd w:val="clear" w:color="auto" w:fill="FFFFFF"/>
        <w:spacing w:before="0" w:after="16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O Projeto de Lei em análise, em seu artigo 5°, prevê a isenção do Imposto Predial e Territorial Urbano (IPTU) e de eventuais taxas de revitalização do imóvel e de quem venha a executar obras neste. Esta previsão guarda conformidade com o artigo 32 da Lei Municipal n° 5.542 de 2014. </w:t>
      </w:r>
    </w:p>
    <w:p w:rsidR="00000000" w:rsidRPr="00000000" w:rsidP="00000000" w14:paraId="0000002F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Sendo assim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, quanto ao aspecto constitucional, legal e regimental, denota-se que o presente projeto não apresenta conflitos junto ao ordenamento jurídico vigente, não havendo vícios de inconstitucionalidade.</w:t>
      </w:r>
    </w:p>
    <w:p w:rsidR="00000000" w:rsidRPr="00000000" w:rsidP="00000000" w14:paraId="00000030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1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Por fim e no tocante ao aspecto gramatical e lógico, verifica-se que houve respeito às regras ortográficas e técnica legislativa, não havendo apontamentos neste sentido.</w:t>
      </w:r>
    </w:p>
    <w:p w:rsidR="00000000" w:rsidRPr="00000000" w:rsidP="00000000" w14:paraId="00000032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3">
      <w:pPr>
        <w:ind w:firstLine="709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Portanto, seja no âmbito jurídico e gramatical não se vislumbra irregularidades na propositura ora analisada, motivo pelo qual não se verifica óbices para continuidade da proposta apresentada pelo Executivo Municipal.</w:t>
      </w:r>
    </w:p>
    <w:p w:rsidR="00000000" w:rsidRPr="00000000" w:rsidP="00000000" w14:paraId="00000034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5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36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7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  <w:t>O Relator não propõe qualquer alteração ao Projeto de Lei sob análise.</w:t>
      </w:r>
    </w:p>
    <w:p w:rsidR="00000000" w:rsidRPr="00000000" w:rsidP="00000000" w14:paraId="00000038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9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IV. Decisão do Relator.</w:t>
      </w:r>
    </w:p>
    <w:p w:rsidR="00000000" w:rsidRPr="00000000" w:rsidP="00000000" w14:paraId="0000003A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B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FAVORÁVEL.</w:t>
      </w:r>
    </w:p>
    <w:p w:rsidR="00000000" w:rsidRPr="00000000" w:rsidP="00000000" w14:paraId="0000003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3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3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F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4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4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F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0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PARECER CONJUNTO N.º     /2022 DA COMISSÃO DE JUSTIÇA E REDAÇÃO, COMISSÃO DE EDUCAÇÃO, SAÚDE, CULTURA, ESPORTE E ASSISTÊNCIA SOCIAL E COMISSÃO DE OBRAS, SERVIÇOS PÚBLICOS E ATIVIDADES PRIVADAS;</w:t>
      </w:r>
    </w:p>
    <w:p w:rsidR="00000000" w:rsidRPr="00000000" w:rsidP="00000000" w14:paraId="00000051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2">
      <w:pPr>
        <w:ind w:firstLine="720"/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Seguindo o Voto exarado pelo Relator e conforme determina o artigo 35, 38 e 39, combinados com artigo 45 da Resolução n°  276 de 09 de novembro de 2.010 a Comissão de Justiça e Redação conjuntamente com as Comissões Permanentes de Educação, Saúde, Cultura, Esporte e Assistência Social e de Obras, Serviços Públicos e Atividades Privadas formalizam o presente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PARECER FAVORÁVEL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.</w:t>
      </w:r>
    </w:p>
    <w:p w:rsidR="00000000" w:rsidRPr="00000000" w:rsidP="00000000" w14:paraId="00000053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000000" w:rsidRPr="00000000" w:rsidP="00000000" w14:paraId="00000054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26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 de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Maio 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de 2022.</w:t>
      </w:r>
    </w:p>
    <w:p w:rsidR="00000000" w:rsidRPr="00000000" w:rsidP="00000000" w14:paraId="00000055">
      <w:pPr>
        <w:spacing w:after="240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6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7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58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59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A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B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C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5D">
      <w:pPr>
        <w:jc w:val="center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5E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F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60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61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62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63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64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65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66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67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68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69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A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B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b/>
          <w:sz w:val="26"/>
          <w:szCs w:val="26"/>
          <w:u w:val="single"/>
          <w:rtl w:val="0"/>
        </w:rPr>
        <w:t>COMISSÃO DE EDUCAÇÃO, SAÚDE, CULTURA, ESPORTE E ASSISTÊNCIA SOCIAL</w:t>
      </w:r>
    </w:p>
    <w:p w:rsidR="00000000" w:rsidRPr="00000000" w:rsidP="00000000" w14:paraId="0000006C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D">
      <w:pPr>
        <w:jc w:val="left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E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F">
      <w:pPr>
        <w:jc w:val="left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70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71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Presidente</w:t>
      </w:r>
    </w:p>
    <w:p w:rsidR="00000000" w:rsidRPr="00000000" w:rsidP="00000000" w14:paraId="00000072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3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4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5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VEREADORA LÚCIA MARIA FERREIRA TENÓRIO</w:t>
      </w:r>
    </w:p>
    <w:p w:rsidR="00000000" w:rsidRPr="00000000" w:rsidP="00000000" w14:paraId="00000076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Vice-Presidente</w:t>
      </w:r>
    </w:p>
    <w:p w:rsidR="00000000" w:rsidRPr="00000000" w:rsidP="00000000" w14:paraId="00000077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8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9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A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7B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Membro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7C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7D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u w:val="single"/>
          <w:rtl w:val="0"/>
        </w:rPr>
        <w:t xml:space="preserve">COMISSÃO </w:t>
      </w:r>
      <w:r w:rsidRPr="00000000">
        <w:rPr>
          <w:rFonts w:ascii="Calibri" w:eastAsia="Calibri" w:hAnsi="Calibri" w:cs="Calibri"/>
          <w:b/>
          <w:sz w:val="26"/>
          <w:szCs w:val="26"/>
          <w:u w:val="single"/>
          <w:rtl w:val="0"/>
        </w:rPr>
        <w:t>DE OBRAS, SERVIÇOS PÚBLICOS E ATIVIDADES PRIVADAS</w:t>
      </w:r>
    </w:p>
    <w:p w:rsidR="00000000" w:rsidRPr="00000000" w:rsidP="00000000" w14:paraId="0000007E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7F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80">
      <w:pPr>
        <w:spacing w:after="24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 ORIVALDO APARECIDO MAGALHÃES</w:t>
      </w:r>
    </w:p>
    <w:p w:rsidR="00000000" w:rsidRPr="00000000" w:rsidP="00000000" w14:paraId="00000081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Presidente</w:t>
      </w:r>
    </w:p>
    <w:p w:rsidR="00000000" w:rsidRPr="00000000" w:rsidP="00000000" w14:paraId="00000082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83">
      <w:pPr>
        <w:spacing w:after="24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 GERALDO VICENTE BERTANHA</w:t>
      </w:r>
    </w:p>
    <w:p w:rsidR="00000000" w:rsidRPr="00000000" w:rsidP="00000000" w14:paraId="00000084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Vice-presidente</w:t>
      </w:r>
    </w:p>
    <w:p w:rsidR="00000000" w:rsidRPr="00000000" w:rsidP="00000000" w14:paraId="00000085">
      <w:pPr>
        <w:spacing w:after="240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86">
      <w:pPr>
        <w:spacing w:after="24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 ADEMIR SOUZA FLORETTI JUNIOR</w:t>
      </w:r>
    </w:p>
    <w:p w:rsidR="00000000" w:rsidRPr="00000000" w:rsidP="00000000" w14:paraId="00000087">
      <w:pPr>
        <w:spacing w:after="240"/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Membro</w:t>
      </w: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70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8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40620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8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