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0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0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RELATÓRIO nº 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 xml:space="preserve">     </w:t>
      </w: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/2022</w:t>
      </w:r>
    </w:p>
    <w:p w:rsidR="00000000" w:rsidRPr="00000000" w:rsidP="00000000" w14:paraId="0000000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06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Projeto de Lei n.º 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179</w:t>
      </w: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 de 202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1</w:t>
      </w:r>
    </w:p>
    <w:p w:rsidR="00000000" w:rsidRPr="00000000" w:rsidP="00000000" w14:paraId="00000007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Processo nº 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240</w:t>
      </w: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 de 202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1</w:t>
      </w:r>
    </w:p>
    <w:p w:rsidR="00000000" w:rsidRPr="00000000" w:rsidP="00000000" w14:paraId="00000008">
      <w:pPr>
        <w:jc w:val="both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Autora: Vereadora Sonia Regina Rodrigues</w:t>
      </w:r>
    </w:p>
    <w:p w:rsidR="00000000" w:rsidRPr="00000000" w:rsidP="00000000" w14:paraId="00000009">
      <w:pPr>
        <w:jc w:val="both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Relator: Vereador João Victor Gasparini</w:t>
      </w:r>
    </w:p>
    <w:p w:rsidR="00000000" w:rsidRPr="00000000" w:rsidP="00000000" w14:paraId="0000000A">
      <w:pPr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0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I. Exposição da Matéria</w:t>
      </w:r>
    </w:p>
    <w:p w:rsidR="00000000" w:rsidRPr="00000000" w:rsidP="00000000" w14:paraId="0000000C">
      <w:pPr>
        <w:spacing w:after="240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0D">
      <w:pPr>
        <w:ind w:firstLine="709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>De autoria da Nobre Vereadora Sonia Regina Rodrigues, o projeto de lei em epígrafe</w:t>
      </w:r>
      <w:r w:rsidRPr="00000000">
        <w:rPr>
          <w:rFonts w:ascii="Calibri" w:eastAsia="Calibri" w:hAnsi="Calibri" w:cs="Calibri"/>
          <w:b/>
          <w:color w:val="000000"/>
          <w:sz w:val="26"/>
          <w:szCs w:val="26"/>
          <w:rtl w:val="0"/>
        </w:rPr>
        <w:t xml:space="preserve"> “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 xml:space="preserve">Dispõe sobre a obrigatoriedade, por parte de condomínio residenciais ou comerciais, de clínicas veterinárias, pet shops, hotéis para estadia de animais e similares, de comunicação às autoridades policiais ou órgãos competentes da ocorrência e indícios de maus tratos ou quaisquer violações de direitos dos animais, no âmbito do Município de Mogi Mirim e dá outras providências". </w:t>
      </w:r>
    </w:p>
    <w:p w:rsidR="00000000" w:rsidRPr="00000000" w:rsidP="00000000" w14:paraId="0000000E">
      <w:pPr>
        <w:ind w:firstLine="709"/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0F">
      <w:pPr>
        <w:ind w:firstLine="709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>O projeto visa garantir que condomínios residenciais e comerciais, além de empreendimentos de bem-estar animal denunciem indícios de maus tratos ou violação de direitos dos animais no Município de Mogi Mirim.</w:t>
      </w:r>
    </w:p>
    <w:p w:rsidR="00000000" w:rsidRPr="00000000" w:rsidP="00000000" w14:paraId="00000010">
      <w:pPr>
        <w:jc w:val="both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ab/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II. Do mérito e conclusões do relator</w:t>
      </w:r>
      <w:r w:rsidRPr="00000000"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 </w:t>
      </w:r>
    </w:p>
    <w:p w:rsidR="00000000" w:rsidRPr="00000000" w:rsidP="00000000" w14:paraId="00000013">
      <w:pPr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14">
      <w:pPr>
        <w:ind w:firstLine="709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ab/>
        <w:t xml:space="preserve">Inicialmente cumpre destacar que a Comissão de Justiça e Redação requereu parecer da SPG - Soluções em Gestão Pública - para avaliação do presente Projeto de Lei, através da CONSULTA/0596/2021/JG/G de 24 de novembro de 2021, com parecer pela constitucionalidade da matéria. </w:t>
      </w:r>
    </w:p>
    <w:p w:rsidR="00000000" w:rsidRPr="00000000" w:rsidP="00000000" w14:paraId="00000015">
      <w:pPr>
        <w:ind w:firstLine="709"/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16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ab/>
        <w:t>Trata-se de um assunto de competência legislativa do Município, conforme determina o artigo 30, inciso I da Constituição Federal, legislar sobre assuntos de interesse local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>:</w:t>
      </w:r>
    </w:p>
    <w:p w:rsidR="00000000" w:rsidRPr="00000000" w:rsidP="00000000" w14:paraId="00000017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18">
      <w:pPr>
        <w:shd w:val="clear" w:color="auto" w:fill="FFFFFF"/>
        <w:spacing w:before="200" w:after="200"/>
        <w:ind w:left="2880" w:firstLine="580"/>
        <w:jc w:val="both"/>
        <w:rPr>
          <w:rFonts w:ascii="Calibri" w:eastAsia="Calibri" w:hAnsi="Calibri" w:cs="Calibri"/>
          <w:i/>
          <w:sz w:val="26"/>
          <w:szCs w:val="26"/>
        </w:rPr>
      </w:pPr>
      <w:r w:rsidRPr="00000000">
        <w:rPr>
          <w:rFonts w:ascii="Calibri" w:eastAsia="Calibri" w:hAnsi="Calibri" w:cs="Calibri"/>
          <w:i/>
          <w:sz w:val="26"/>
          <w:szCs w:val="26"/>
          <w:rtl w:val="0"/>
        </w:rPr>
        <w:t>“Art. 30. Compete aos Municípios:</w:t>
      </w:r>
    </w:p>
    <w:p w:rsidR="00000000" w:rsidRPr="00000000" w:rsidP="00000000" w14:paraId="00000019">
      <w:pPr>
        <w:shd w:val="clear" w:color="auto" w:fill="FFFFFF"/>
        <w:spacing w:before="200" w:after="200"/>
        <w:ind w:left="2880" w:firstLine="580"/>
        <w:jc w:val="both"/>
        <w:rPr>
          <w:rFonts w:ascii="Calibri" w:eastAsia="Calibri" w:hAnsi="Calibri" w:cs="Calibri"/>
          <w:i/>
          <w:sz w:val="26"/>
          <w:szCs w:val="26"/>
        </w:rPr>
      </w:pPr>
      <w:r w:rsidRPr="00000000">
        <w:rPr>
          <w:rFonts w:ascii="Calibri" w:eastAsia="Calibri" w:hAnsi="Calibri" w:cs="Calibri"/>
          <w:i/>
          <w:sz w:val="26"/>
          <w:szCs w:val="26"/>
          <w:rtl w:val="0"/>
        </w:rPr>
        <w:t>I - legislar sobre assuntos de interesse local;”</w:t>
      </w:r>
    </w:p>
    <w:p w:rsidR="00000000" w:rsidRPr="00000000" w:rsidP="00000000" w14:paraId="0000001A">
      <w:pPr>
        <w:shd w:val="clear" w:color="auto" w:fill="FFFFFF"/>
        <w:spacing w:before="200" w:after="200"/>
        <w:ind w:left="0" w:firstLine="0"/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1B">
      <w:pPr>
        <w:shd w:val="clear" w:color="auto" w:fill="FFFFFF"/>
        <w:spacing w:before="200" w:after="200"/>
        <w:ind w:left="0" w:firstLine="720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>A propositura dispõe sobre a proteção ao bem-estar animal, tema do artigo 225 da Constituição Federal, que impõe ao Poder Público e à coletividade o dever de proteger e preservar o meio ambiente. No inciso VII do parágrafo 1° do referido artigo 225, a Constituição Federal é clara neste sentido:</w:t>
      </w:r>
    </w:p>
    <w:p w:rsidR="00000000" w:rsidRPr="00000000" w:rsidP="00000000" w14:paraId="0000001C">
      <w:pPr>
        <w:shd w:val="clear" w:color="auto" w:fill="FFFFFF"/>
        <w:spacing w:before="200" w:after="200"/>
        <w:ind w:left="3600" w:firstLine="720"/>
        <w:jc w:val="both"/>
        <w:rPr>
          <w:rFonts w:ascii="Calibri" w:eastAsia="Calibri" w:hAnsi="Calibri" w:cs="Calibri"/>
          <w:i/>
          <w:sz w:val="26"/>
          <w:szCs w:val="26"/>
        </w:rPr>
      </w:pPr>
      <w:r w:rsidRPr="00000000">
        <w:rPr>
          <w:rFonts w:ascii="Calibri" w:eastAsia="Calibri" w:hAnsi="Calibri" w:cs="Calibri"/>
          <w:i/>
          <w:sz w:val="26"/>
          <w:szCs w:val="26"/>
          <w:rtl w:val="0"/>
        </w:rPr>
        <w:t>(...)</w:t>
      </w:r>
    </w:p>
    <w:p w:rsidR="00000000" w:rsidRPr="00000000" w:rsidP="00000000" w14:paraId="0000001D">
      <w:pPr>
        <w:shd w:val="clear" w:color="auto" w:fill="FFFFFF"/>
        <w:spacing w:before="240" w:after="240"/>
        <w:ind w:left="3600" w:firstLine="580"/>
        <w:jc w:val="both"/>
        <w:rPr>
          <w:rFonts w:ascii="Calibri" w:eastAsia="Calibri" w:hAnsi="Calibri" w:cs="Calibri"/>
          <w:i/>
          <w:sz w:val="26"/>
          <w:szCs w:val="26"/>
        </w:rPr>
      </w:pPr>
      <w:r w:rsidRPr="00000000">
        <w:rPr>
          <w:rFonts w:ascii="Calibri" w:eastAsia="Calibri" w:hAnsi="Calibri" w:cs="Calibri"/>
          <w:i/>
          <w:sz w:val="26"/>
          <w:szCs w:val="26"/>
          <w:rtl w:val="0"/>
        </w:rPr>
        <w:t>“Art. 225. Todos têm direito ao meio ambiente ecologicamente equilibrado, bem de uso comum do povo e essencial à sadia qualidade de vida, impondo-se ao Poder Público e à coletividade o dever de defendê-lo e preservá- lo para as presentes e futuras gerações.</w:t>
      </w:r>
    </w:p>
    <w:p w:rsidR="00000000" w:rsidRPr="00000000" w:rsidP="00000000" w14:paraId="0000001E">
      <w:pPr>
        <w:shd w:val="clear" w:color="auto" w:fill="FFFFFF"/>
        <w:spacing w:before="240" w:after="240"/>
        <w:ind w:left="3600" w:firstLine="580"/>
        <w:jc w:val="both"/>
        <w:rPr>
          <w:rFonts w:ascii="Calibri" w:eastAsia="Calibri" w:hAnsi="Calibri" w:cs="Calibri"/>
          <w:i/>
          <w:sz w:val="26"/>
          <w:szCs w:val="26"/>
        </w:rPr>
      </w:pPr>
      <w:r w:rsidRPr="00000000">
        <w:rPr>
          <w:rFonts w:ascii="Calibri" w:eastAsia="Calibri" w:hAnsi="Calibri" w:cs="Calibri"/>
          <w:i/>
          <w:sz w:val="26"/>
          <w:szCs w:val="26"/>
          <w:rtl w:val="0"/>
        </w:rPr>
        <w:t>§ 1º Para assegurar a efetividade desse direito, incumbe ao Poder Público:</w:t>
      </w:r>
    </w:p>
    <w:p w:rsidR="00000000" w:rsidRPr="00000000" w:rsidP="00000000" w14:paraId="0000001F">
      <w:pPr>
        <w:shd w:val="clear" w:color="auto" w:fill="FFFFFF"/>
        <w:spacing w:before="240" w:after="240"/>
        <w:ind w:left="3600" w:firstLine="580"/>
        <w:jc w:val="both"/>
        <w:rPr>
          <w:rFonts w:ascii="Calibri" w:eastAsia="Calibri" w:hAnsi="Calibri" w:cs="Calibri"/>
          <w:i/>
          <w:sz w:val="26"/>
          <w:szCs w:val="26"/>
        </w:rPr>
      </w:pPr>
      <w:r w:rsidRPr="00000000">
        <w:rPr>
          <w:rFonts w:ascii="Calibri" w:eastAsia="Calibri" w:hAnsi="Calibri" w:cs="Calibri"/>
          <w:i/>
          <w:sz w:val="26"/>
          <w:szCs w:val="26"/>
          <w:rtl w:val="0"/>
        </w:rPr>
        <w:t>(...)</w:t>
      </w:r>
    </w:p>
    <w:p w:rsidR="00000000" w:rsidRPr="00000000" w:rsidP="00000000" w14:paraId="00000020">
      <w:pPr>
        <w:shd w:val="clear" w:color="auto" w:fill="FFFFFF"/>
        <w:spacing w:before="200" w:after="200"/>
        <w:ind w:left="3600" w:firstLine="720"/>
        <w:jc w:val="both"/>
        <w:rPr>
          <w:rFonts w:ascii="Calibri" w:eastAsia="Calibri" w:hAnsi="Calibri" w:cs="Calibri"/>
          <w:i/>
          <w:sz w:val="26"/>
          <w:szCs w:val="26"/>
          <w:highlight w:val="white"/>
        </w:rPr>
      </w:pPr>
      <w:r w:rsidRPr="00000000">
        <w:rPr>
          <w:rFonts w:ascii="Calibri" w:eastAsia="Calibri" w:hAnsi="Calibri" w:cs="Calibri"/>
          <w:i/>
          <w:sz w:val="26"/>
          <w:szCs w:val="26"/>
          <w:highlight w:val="white"/>
          <w:rtl w:val="0"/>
        </w:rPr>
        <w:t>VII - proteger a fauna e a flora, vedadas, na forma da lei, as práticas que coloquem em risco sua função ecológica, provoquem a extinção de espécies ou submetam os animais a crueldade.”</w:t>
      </w:r>
    </w:p>
    <w:p w:rsidR="00000000" w:rsidRPr="00000000" w:rsidP="00000000" w14:paraId="00000021">
      <w:pPr>
        <w:shd w:val="clear" w:color="auto" w:fill="FFFFFF"/>
        <w:spacing w:before="200" w:after="200"/>
        <w:ind w:left="3600" w:firstLine="720"/>
        <w:jc w:val="both"/>
        <w:rPr>
          <w:rFonts w:ascii="Calibri" w:eastAsia="Calibri" w:hAnsi="Calibri" w:cs="Calibri"/>
          <w:i/>
          <w:sz w:val="26"/>
          <w:szCs w:val="26"/>
          <w:highlight w:val="white"/>
        </w:rPr>
      </w:pPr>
    </w:p>
    <w:p w:rsidR="00000000" w:rsidRPr="00000000" w:rsidP="00000000" w14:paraId="00000022">
      <w:pPr>
        <w:shd w:val="clear" w:color="auto" w:fill="FFFFFF"/>
        <w:spacing w:before="200" w:after="200"/>
        <w:ind w:left="0" w:firstLine="0"/>
        <w:jc w:val="both"/>
        <w:rPr>
          <w:rFonts w:ascii="Calibri" w:eastAsia="Calibri" w:hAnsi="Calibri" w:cs="Calibri"/>
          <w:sz w:val="26"/>
          <w:szCs w:val="26"/>
          <w:highlight w:val="white"/>
        </w:rPr>
      </w:pPr>
      <w:r w:rsidRPr="00000000">
        <w:rPr>
          <w:rFonts w:ascii="Calibri" w:eastAsia="Calibri" w:hAnsi="Calibri" w:cs="Calibri"/>
          <w:sz w:val="26"/>
          <w:szCs w:val="26"/>
          <w:highlight w:val="white"/>
          <w:rtl w:val="0"/>
        </w:rPr>
        <w:tab/>
        <w:t>Sendo assim, o Projeto de Lei em análise prevê a participação da coletividade para contribuir na proteção de animais, sendo uma iniciativa do poder legislativo e fiscalização do poder público.</w:t>
      </w:r>
    </w:p>
    <w:p w:rsidR="00000000" w:rsidRPr="00000000" w:rsidP="00000000" w14:paraId="00000023">
      <w:pPr>
        <w:shd w:val="clear" w:color="auto" w:fill="FFFFFF"/>
        <w:spacing w:before="200" w:after="200"/>
        <w:ind w:left="0" w:firstLine="720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Todavia, o parecer mencionado emitido pela SGP (CONSULTA/0596/2021/JG/G) recomenda especial atenção com relação ao artigo 4° do Projeto de Lei em análise, por incumbir ao Poder Executivo de regulamentar a lei oriunda do presente projeto, caso aprovado. Considerando que a atribuição de regulamentação da administração é do chefe do Executivo, com base no artigo 71, inciso II da Lei Orgânica do Município de Mogi Mirim, não se faz necessário a autorização legislativa em leis de iniciativa parlamentar que contenham dispositivos que autorizem a sua regulamentação. Entretanto, não há qualquer imposição de obrigação aos órgãos públicos. </w:t>
      </w:r>
    </w:p>
    <w:p w:rsidR="00000000" w:rsidRPr="00000000" w:rsidP="00000000" w14:paraId="0000002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709"/>
        <w:jc w:val="both"/>
        <w:rPr>
          <w:rFonts w:ascii="Calibri" w:eastAsia="Calibri" w:hAnsi="Calibri" w:cs="Calibri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>Dessa forma, q</w:t>
      </w:r>
      <w:r w:rsidRPr="00000000">
        <w:rPr>
          <w:rFonts w:ascii="Calibri" w:eastAsia="Calibri" w:hAnsi="Calibri" w:cs="Calibri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uanto ao aspecto constitucional, legal e regimental, denota-se que o presente projeto não apresenta conflitos junto ao ordenamento jurídico vigente, não havendo vícios de constitucionalidade.</w:t>
      </w:r>
    </w:p>
    <w:p w:rsidR="00000000" w:rsidRPr="00000000" w:rsidP="00000000" w14:paraId="0000002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26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709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Por fim e no tocante ao aspecto gramatical e lógico, verifica-se que houve respeito às regras ortográficas e técnica legislativa, não havendo apontamentos neste sentido.</w:t>
      </w:r>
    </w:p>
    <w:p w:rsidR="00000000" w:rsidRPr="00000000" w:rsidP="00000000" w14:paraId="00000027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709"/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28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709"/>
        <w:jc w:val="both"/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>Portanto</w:t>
      </w:r>
      <w:r w:rsidRPr="00000000"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, seja no âmbito jurídico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 e </w:t>
      </w:r>
      <w:r w:rsidRPr="00000000"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gramatical não se vislumbra irregularidades na propositura ora analisada, motivo pelo qual não se verifica óbices para continuidade da proposta apresentada pel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>a nobre vereadora</w:t>
      </w:r>
      <w:r w:rsidRPr="00000000"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.</w:t>
      </w:r>
    </w:p>
    <w:p w:rsidR="00000000" w:rsidRPr="00000000" w:rsidP="00000000" w14:paraId="00000029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 </w:t>
      </w:r>
    </w:p>
    <w:p w:rsidR="00000000" w:rsidRPr="00000000" w:rsidP="00000000" w14:paraId="0000002A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2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2C">
      <w:pPr>
        <w:jc w:val="both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III. Substitutivos, Emendas ou subemendas ao Projeto</w:t>
      </w:r>
    </w:p>
    <w:p w:rsidR="00000000" w:rsidRPr="00000000" w:rsidP="00000000" w14:paraId="0000002D">
      <w:pPr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2E">
      <w:pPr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 </w:t>
        <w:tab/>
        <w:t>O Relator não propõe qualquer alteração ao Projeto de Lei sob análise.</w:t>
      </w:r>
    </w:p>
    <w:p w:rsidR="00000000" w:rsidRPr="00000000" w:rsidP="00000000" w14:paraId="0000002F">
      <w:pPr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30">
      <w:pPr>
        <w:jc w:val="both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IV. Decisão do Relator.</w:t>
      </w:r>
    </w:p>
    <w:p w:rsidR="00000000" w:rsidRPr="00000000" w:rsidP="00000000" w14:paraId="00000031">
      <w:pPr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2">
      <w:pPr>
        <w:ind w:firstLine="720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Portanto, diante do exposto, esta relatoria considera que a presente propositura não apresenta vícios de constitucionalidade, recebendo assim parecer 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FAVORÁVEL.</w:t>
      </w:r>
    </w:p>
    <w:p w:rsidR="00000000" w:rsidRPr="00000000" w:rsidP="00000000" w14:paraId="0000003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3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3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6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7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8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9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VEREADOR </w:t>
      </w:r>
      <w:r w:rsidRPr="00000000">
        <w:rPr>
          <w:rFonts w:ascii="Calibri" w:eastAsia="Calibri" w:hAnsi="Calibri" w:cs="Calibri"/>
          <w:b/>
          <w:sz w:val="26"/>
          <w:szCs w:val="26"/>
          <w:highlight w:val="white"/>
          <w:rtl w:val="0"/>
        </w:rPr>
        <w:t>JOÃO VICTOR GASPARINI</w:t>
      </w:r>
    </w:p>
    <w:p w:rsidR="00000000" w:rsidRPr="00000000" w:rsidP="00000000" w14:paraId="0000003A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Presidente /relator</w:t>
      </w:r>
    </w:p>
    <w:p w:rsidR="00000000" w:rsidRPr="00000000" w:rsidP="00000000" w14:paraId="0000003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6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7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8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9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A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4C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b/>
          <w:color w:val="000000"/>
          <w:sz w:val="26"/>
          <w:szCs w:val="26"/>
          <w:rtl w:val="0"/>
        </w:rPr>
        <w:t>PARECER N.º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 xml:space="preserve"> </w:t>
      </w:r>
      <w:r w:rsidRPr="00000000">
        <w:rPr>
          <w:rFonts w:ascii="Calibri" w:eastAsia="Calibri" w:hAnsi="Calibri" w:cs="Calibri"/>
          <w:b/>
          <w:color w:val="000000"/>
          <w:sz w:val="26"/>
          <w:szCs w:val="26"/>
          <w:rtl w:val="0"/>
        </w:rPr>
        <w:t xml:space="preserve"> 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 xml:space="preserve">   </w:t>
      </w:r>
      <w:r w:rsidRPr="00000000">
        <w:rPr>
          <w:rFonts w:ascii="Calibri" w:eastAsia="Calibri" w:hAnsi="Calibri" w:cs="Calibri"/>
          <w:b/>
          <w:color w:val="000000"/>
          <w:sz w:val="26"/>
          <w:szCs w:val="26"/>
          <w:rtl w:val="0"/>
        </w:rPr>
        <w:t>/2022 DA COMISSÃO DE JUSTIÇA E REDAÇÃO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.</w:t>
      </w:r>
    </w:p>
    <w:p w:rsidR="00000000" w:rsidRPr="00000000" w:rsidP="00000000" w14:paraId="0000004D">
      <w:pPr>
        <w:spacing w:after="240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4E">
      <w:pPr>
        <w:ind w:firstLine="720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>Seguindo o Voto exarado pelo Relator e conforme determina o artigo 35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 da Resolução n°  276 de 09 de novembro de 2.010, Regimento Interno da Câmara Municipal de Mogi Mirim, a Comissões</w:t>
      </w: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 xml:space="preserve"> de Justiça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 formaliza</w:t>
      </w: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 xml:space="preserve"> o presente </w:t>
      </w:r>
      <w:r w:rsidRPr="00000000">
        <w:rPr>
          <w:rFonts w:ascii="Calibri" w:eastAsia="Calibri" w:hAnsi="Calibri" w:cs="Calibri"/>
          <w:b/>
          <w:color w:val="000000"/>
          <w:sz w:val="26"/>
          <w:szCs w:val="26"/>
          <w:rtl w:val="0"/>
        </w:rPr>
        <w:t>PARECER FAVORÁVEL</w:t>
      </w: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>.</w:t>
      </w:r>
    </w:p>
    <w:p w:rsidR="00000000" w:rsidRPr="00000000" w:rsidP="00000000" w14:paraId="0000004F">
      <w:pPr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50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color w:val="000000"/>
          <w:sz w:val="26"/>
          <w:szCs w:val="26"/>
          <w:highlight w:val="white"/>
          <w:rtl w:val="0"/>
        </w:rPr>
        <w:t xml:space="preserve">Sala das Comissões, em </w:t>
      </w:r>
      <w:r w:rsidRPr="00000000">
        <w:rPr>
          <w:rFonts w:ascii="Calibri" w:eastAsia="Calibri" w:hAnsi="Calibri" w:cs="Calibri"/>
          <w:sz w:val="26"/>
          <w:szCs w:val="26"/>
          <w:highlight w:val="white"/>
          <w:rtl w:val="0"/>
        </w:rPr>
        <w:t>25</w:t>
      </w:r>
      <w:r w:rsidRPr="00000000">
        <w:rPr>
          <w:rFonts w:ascii="Calibri" w:eastAsia="Calibri" w:hAnsi="Calibri" w:cs="Calibri"/>
          <w:color w:val="000000"/>
          <w:sz w:val="26"/>
          <w:szCs w:val="26"/>
          <w:highlight w:val="white"/>
          <w:rtl w:val="0"/>
        </w:rPr>
        <w:t xml:space="preserve"> de</w:t>
      </w:r>
      <w:r w:rsidRPr="00000000">
        <w:rPr>
          <w:rFonts w:ascii="Calibri" w:eastAsia="Calibri" w:hAnsi="Calibri" w:cs="Calibri"/>
          <w:sz w:val="26"/>
          <w:szCs w:val="26"/>
          <w:highlight w:val="white"/>
          <w:rtl w:val="0"/>
        </w:rPr>
        <w:t xml:space="preserve"> abril </w:t>
      </w:r>
      <w:r w:rsidRPr="00000000">
        <w:rPr>
          <w:rFonts w:ascii="Calibri" w:eastAsia="Calibri" w:hAnsi="Calibri" w:cs="Calibri"/>
          <w:color w:val="000000"/>
          <w:sz w:val="26"/>
          <w:szCs w:val="26"/>
          <w:highlight w:val="white"/>
          <w:rtl w:val="0"/>
        </w:rPr>
        <w:t>de 2.022.</w:t>
      </w:r>
    </w:p>
    <w:p w:rsidR="00000000" w:rsidRPr="00000000" w:rsidP="00000000" w14:paraId="00000051">
      <w:pPr>
        <w:spacing w:after="240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52">
      <w:pPr>
        <w:jc w:val="center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b/>
          <w:color w:val="000000"/>
          <w:sz w:val="26"/>
          <w:szCs w:val="26"/>
          <w:highlight w:val="white"/>
          <w:u w:val="single"/>
          <w:rtl w:val="0"/>
        </w:rPr>
        <w:t>COMISSÃO DE JUSTIÇA E REDAÇÃO</w:t>
      </w:r>
    </w:p>
    <w:p w:rsidR="00000000" w:rsidRPr="00000000" w:rsidP="00000000" w14:paraId="00000053">
      <w:pPr>
        <w:spacing w:after="240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br/>
      </w:r>
    </w:p>
    <w:p w:rsidR="00000000" w:rsidRPr="00000000" w:rsidP="00000000" w14:paraId="00000054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55">
      <w:pPr>
        <w:jc w:val="left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56">
      <w:pPr>
        <w:jc w:val="left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57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b/>
          <w:color w:val="000000"/>
          <w:sz w:val="26"/>
          <w:szCs w:val="26"/>
          <w:highlight w:val="white"/>
          <w:rtl w:val="0"/>
        </w:rPr>
        <w:t>VEREADOR JOÃO VICTOR GASPARINI</w:t>
      </w:r>
    </w:p>
    <w:p w:rsidR="00000000" w:rsidRPr="00000000" w:rsidP="00000000" w14:paraId="00000058">
      <w:pPr>
        <w:jc w:val="center"/>
        <w:rPr>
          <w:rFonts w:ascii="Calibri" w:eastAsia="Calibri" w:hAnsi="Calibri" w:cs="Calibri"/>
          <w:color w:val="000000"/>
          <w:sz w:val="26"/>
          <w:szCs w:val="26"/>
          <w:highlight w:val="white"/>
        </w:rPr>
      </w:pPr>
      <w:r w:rsidRPr="00000000">
        <w:rPr>
          <w:rFonts w:ascii="Calibri" w:eastAsia="Calibri" w:hAnsi="Calibri" w:cs="Calibri"/>
          <w:color w:val="000000"/>
          <w:sz w:val="26"/>
          <w:szCs w:val="26"/>
          <w:highlight w:val="white"/>
          <w:rtl w:val="0"/>
        </w:rPr>
        <w:t>Presidente / RELATOR</w:t>
      </w:r>
    </w:p>
    <w:p w:rsidR="00000000" w:rsidRPr="00000000" w:rsidP="00000000" w14:paraId="00000059">
      <w:pPr>
        <w:jc w:val="center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5A">
      <w:pPr>
        <w:jc w:val="center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5B">
      <w:pPr>
        <w:jc w:val="center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5C">
      <w:pPr>
        <w:spacing w:after="240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5D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b/>
          <w:color w:val="000000"/>
          <w:sz w:val="26"/>
          <w:szCs w:val="26"/>
          <w:highlight w:val="white"/>
          <w:rtl w:val="0"/>
        </w:rPr>
        <w:t>VEREADORA MARA CRISTINA CHOQUETTA</w:t>
      </w:r>
    </w:p>
    <w:p w:rsidR="00000000" w:rsidRPr="00000000" w:rsidP="00000000" w14:paraId="0000005E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color w:val="000000"/>
          <w:sz w:val="26"/>
          <w:szCs w:val="26"/>
          <w:highlight w:val="white"/>
          <w:rtl w:val="0"/>
        </w:rPr>
        <w:t>Vice-presidente</w:t>
      </w:r>
    </w:p>
    <w:p w:rsidR="00000000" w:rsidRPr="00000000" w:rsidP="00000000" w14:paraId="0000005F">
      <w:pPr>
        <w:spacing w:after="240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60">
      <w:pPr>
        <w:spacing w:after="240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61">
      <w:pPr>
        <w:spacing w:after="240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br/>
      </w:r>
    </w:p>
    <w:p w:rsidR="00000000" w:rsidRPr="00000000" w:rsidP="00000000" w14:paraId="00000062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b/>
          <w:sz w:val="26"/>
          <w:szCs w:val="26"/>
          <w:highlight w:val="white"/>
          <w:rtl w:val="0"/>
        </w:rPr>
        <w:t>VEREADORA DR. LÚCIA MARIA FERREIRA TENÓRIO</w:t>
      </w:r>
    </w:p>
    <w:p w:rsidR="00000000" w:rsidRPr="00000000" w:rsidP="00000000" w14:paraId="00000063">
      <w:pPr>
        <w:spacing w:after="0"/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color w:val="000000"/>
          <w:sz w:val="26"/>
          <w:szCs w:val="26"/>
          <w:highlight w:val="white"/>
          <w:rtl w:val="0"/>
        </w:rPr>
        <w:t>Membro </w:t>
      </w:r>
    </w:p>
    <w:p w:rsidR="00000000" w:rsidRPr="00000000" w:rsidP="00000000" w14:paraId="00000064">
      <w:pPr>
        <w:spacing w:before="0" w:after="240"/>
        <w:jc w:val="left"/>
        <w:rPr>
          <w:rFonts w:ascii="Calibri" w:eastAsia="Calibri" w:hAnsi="Calibri" w:cs="Calibri"/>
          <w:b/>
          <w:sz w:val="26"/>
          <w:szCs w:val="26"/>
          <w:highlight w:val="white"/>
          <w:u w:val="single"/>
        </w:rPr>
      </w:pPr>
    </w:p>
    <w:sectPr>
      <w:headerReference w:type="even" r:id="rId4"/>
      <w:headerReference w:type="default" r:id="rId5"/>
      <w:footerReference w:type="default" r:id="rId6"/>
      <w:pgSz w:w="11907" w:h="16840" w:orient="portrait"/>
      <w:pgMar w:top="2268" w:right="1321" w:bottom="1701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69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  <w:rtl w:val="0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67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begin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instrText>PAGE</w:instrText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separate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end"/>
    </w:r>
  </w:p>
  <w:p w:rsidR="00000000" w:rsidRPr="00000000" w:rsidP="00000000" w14:paraId="00000068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65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0" w:line="240" w:lineRule="auto"/>
      <w:ind w:left="0" w:right="360" w:firstLine="0"/>
      <w:jc w:val="left"/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drawing>
        <wp:inline distT="0" distB="0" distL="0" distR="0">
          <wp:extent cx="1038225" cy="752475"/>
          <wp:effectExtent l="0" t="0" r="0" b="0"/>
          <wp:docPr id="1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1644211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  <w:rtl w:val="0"/>
      </w:rPr>
      <w:t xml:space="preserve">         </w:t>
    </w: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</w:p>
  <w:p w:rsidR="00000000" w:rsidRPr="00000000" w:rsidP="00000000" w14:paraId="00000066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  <w:outlineLvl w:val="0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Heading2">
    <w:name w:val="heading 2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40" w:lineRule="auto"/>
      <w:ind w:left="0" w:right="0" w:firstLine="0"/>
      <w:jc w:val="left"/>
      <w:outlineLvl w:val="1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Heading3">
    <w:name w:val="heading 3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80" w:after="80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8"/>
      <w:szCs w:val="28"/>
      <w:u w:val="none"/>
      <w:shd w:val="clear" w:color="auto" w:fill="auto"/>
      <w:vertAlign w:val="baseline"/>
    </w:rPr>
  </w:style>
  <w:style w:type="paragraph" w:styleId="Heading4">
    <w:name w:val="heading 4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40" w:lineRule="auto"/>
      <w:ind w:left="0" w:right="0" w:firstLine="0"/>
      <w:jc w:val="left"/>
      <w:outlineLvl w:val="3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Heading5">
    <w:name w:val="heading 5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40" w:lineRule="auto"/>
      <w:ind w:left="0" w:right="0" w:firstLine="0"/>
      <w:jc w:val="left"/>
      <w:outlineLvl w:val="4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Heading6">
    <w:name w:val="heading 6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40" w:lineRule="auto"/>
      <w:ind w:left="0" w:right="0" w:firstLine="0"/>
      <w:jc w:val="left"/>
      <w:outlineLvl w:val="5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styleId="Subtitle">
    <w:name w:val="Subtitle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40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