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RELATÓRIO nº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    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/2022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Projeto de Lei n.º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179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1</w:t>
      </w:r>
    </w:p>
    <w:p w:rsidR="00000000" w:rsidRPr="00000000" w:rsidP="00000000" w14:paraId="0000000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Processo nº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240</w:t>
      </w: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de 202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1</w:t>
      </w:r>
    </w:p>
    <w:p w:rsidR="00000000" w:rsidRPr="00000000" w:rsidP="00000000" w14:paraId="00000008">
      <w:pPr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Autora: Vereadora Sonia Regina Rodrigues</w:t>
      </w:r>
    </w:p>
    <w:p w:rsidR="00000000" w:rsidRPr="00000000" w:rsidP="00000000" w14:paraId="00000009">
      <w:pPr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Relator: Vereador João Victor Gasparini</w:t>
      </w:r>
    </w:p>
    <w:p w:rsidR="00000000" w:rsidRPr="00000000" w:rsidP="00000000" w14:paraId="0000000A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0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I. Exposição da Matéria</w:t>
      </w:r>
    </w:p>
    <w:p w:rsidR="00000000" w:rsidRPr="00000000" w:rsidP="00000000" w14:paraId="0000000C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0D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De autoria da Nobre Vereadora Sonia Regina Rodrigues, o projeto de lei em epígrafe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 “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Dispõe sobre a obrigatoriedade, por parte de condomínio residenciais ou comerciais, de clínicas veterinárias, pet shops, hotéis para estadia de animais e similares, de comunicação às autoridades policiais ou órgãos competentes da ocorrência e indícios de maus tratos ou quaisquer violações de direitos dos animais, no âmbito do Município de Mogi Mirim e dá outras providências". </w:t>
      </w:r>
    </w:p>
    <w:p w:rsidR="00000000" w:rsidRPr="00000000" w:rsidP="00000000" w14:paraId="0000000E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0F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O projeto visa garantir que condomínios residenciais e comerciais, além de empreendimentos de bem-estar animal denunciem indícios de maus tratos ou violação de direitos dos animais no Município de Mogi Mirim.</w:t>
      </w:r>
    </w:p>
    <w:p w:rsidR="00000000" w:rsidRPr="00000000" w:rsidP="00000000" w14:paraId="00000010">
      <w:pPr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ab/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II. Do mérito e conclusões do relator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13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4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ab/>
        <w:t xml:space="preserve">Inicialmente cumpre destacar que a Comissão de Justiça e Redação requereu parecer da SPG - Soluções em Gestão Pública - para avaliação do presente Projeto de Lei, através da CONSULTA/0596/2021/JG/G de 24 de novembro de 2021, com parecer pela constitucionalidade da matéria. </w:t>
      </w:r>
    </w:p>
    <w:p w:rsidR="00000000" w:rsidRPr="00000000" w:rsidP="00000000" w14:paraId="00000015">
      <w:pPr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ab/>
        <w:t>Trata-se de um assunto de competência legislativa do Município, conforme determina o artigo 30, inciso I da Constituição Federal, legislar sobre assuntos de interesse local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:</w:t>
      </w:r>
    </w:p>
    <w:p w:rsidR="00000000" w:rsidRPr="00000000" w:rsidP="00000000" w14:paraId="0000001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8">
      <w:pPr>
        <w:shd w:val="clear" w:color="auto" w:fill="FFFFFF"/>
        <w:spacing w:before="200" w:after="200"/>
        <w:ind w:left="288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“Art. 30. Compete aos Municípios:</w:t>
      </w:r>
    </w:p>
    <w:p w:rsidR="00000000" w:rsidRPr="00000000" w:rsidP="00000000" w14:paraId="00000019">
      <w:pPr>
        <w:shd w:val="clear" w:color="auto" w:fill="FFFFFF"/>
        <w:spacing w:before="200" w:after="200"/>
        <w:ind w:left="288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I - legislar sobre assuntos de interesse local;”</w:t>
      </w:r>
    </w:p>
    <w:p w:rsidR="00000000" w:rsidRPr="00000000" w:rsidP="00000000" w14:paraId="0000001A">
      <w:pPr>
        <w:shd w:val="clear" w:color="auto" w:fill="FFFFFF"/>
        <w:spacing w:before="200" w:after="200"/>
        <w:ind w:left="0" w:firstLine="0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1B">
      <w:pPr>
        <w:shd w:val="clear" w:color="auto" w:fill="FFFFFF"/>
        <w:spacing w:before="200" w:after="200"/>
        <w:ind w:left="0"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A propositura dispõe sobre a proteção ao bem-estar animal, tema do artigo 225 da Constituição Federal, que impõe ao Poder Público e à coletividade o dever de proteger e preservar o meio ambiente. No inciso VII do parágrafo 1° do referido artigo 225, a Constituição Federal é clara neste sentido:</w:t>
      </w:r>
    </w:p>
    <w:p w:rsidR="00000000" w:rsidRPr="00000000" w:rsidP="00000000" w14:paraId="0000001C">
      <w:pPr>
        <w:shd w:val="clear" w:color="auto" w:fill="FFFFFF"/>
        <w:spacing w:before="200" w:after="200"/>
        <w:ind w:left="3600" w:firstLine="72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(...)</w:t>
      </w:r>
    </w:p>
    <w:p w:rsidR="00000000" w:rsidRPr="00000000" w:rsidP="00000000" w14:paraId="0000001D">
      <w:pPr>
        <w:shd w:val="clear" w:color="auto" w:fill="FFFFFF"/>
        <w:spacing w:before="240" w:after="240"/>
        <w:ind w:left="360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“Art. 225. Todos têm direito ao meio ambiente ecologicamente equilibrado, bem de uso comum do povo e essencial à sadia qualidade de vida, impondo-se ao Poder Público e à coletividade o dever de defendê-lo e preservá- lo para as presentes e futuras gerações.</w:t>
      </w:r>
    </w:p>
    <w:p w:rsidR="00000000" w:rsidRPr="00000000" w:rsidP="00000000" w14:paraId="0000001E">
      <w:pPr>
        <w:shd w:val="clear" w:color="auto" w:fill="FFFFFF"/>
        <w:spacing w:before="240" w:after="240"/>
        <w:ind w:left="360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§ 1º Para assegurar a efetividade desse direito, incumbe ao Poder Público:</w:t>
      </w:r>
    </w:p>
    <w:p w:rsidR="00000000" w:rsidRPr="00000000" w:rsidP="00000000" w14:paraId="0000001F">
      <w:pPr>
        <w:shd w:val="clear" w:color="auto" w:fill="FFFFFF"/>
        <w:spacing w:before="240" w:after="240"/>
        <w:ind w:left="3600" w:firstLine="580"/>
        <w:jc w:val="both"/>
        <w:rPr>
          <w:rFonts w:ascii="Calibri" w:eastAsia="Calibri" w:hAnsi="Calibri" w:cs="Calibri"/>
          <w:i/>
          <w:sz w:val="26"/>
          <w:szCs w:val="26"/>
        </w:rPr>
      </w:pPr>
      <w:r w:rsidRPr="00000000">
        <w:rPr>
          <w:rFonts w:ascii="Calibri" w:eastAsia="Calibri" w:hAnsi="Calibri" w:cs="Calibri"/>
          <w:i/>
          <w:sz w:val="26"/>
          <w:szCs w:val="26"/>
          <w:rtl w:val="0"/>
        </w:rPr>
        <w:t>(...)</w:t>
      </w:r>
    </w:p>
    <w:p w:rsidR="00000000" w:rsidRPr="00000000" w:rsidP="00000000" w14:paraId="00000020">
      <w:pPr>
        <w:shd w:val="clear" w:color="auto" w:fill="FFFFFF"/>
        <w:spacing w:before="200" w:after="200"/>
        <w:ind w:left="3600" w:firstLine="720"/>
        <w:jc w:val="both"/>
        <w:rPr>
          <w:rFonts w:ascii="Calibri" w:eastAsia="Calibri" w:hAnsi="Calibri" w:cs="Calibri"/>
          <w:i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i/>
          <w:sz w:val="26"/>
          <w:szCs w:val="26"/>
          <w:highlight w:val="white"/>
          <w:rtl w:val="0"/>
        </w:rPr>
        <w:t>VII - proteger a fauna e a flora, vedadas, na forma da lei, as práticas que coloquem em risco sua função ecológica, provoquem a extinção de espécies ou submetam os animais a crueldade.”</w:t>
      </w:r>
    </w:p>
    <w:p w:rsidR="00000000" w:rsidRPr="00000000" w:rsidP="00000000" w14:paraId="00000021">
      <w:pPr>
        <w:shd w:val="clear" w:color="auto" w:fill="FFFFFF"/>
        <w:spacing w:before="200" w:after="200"/>
        <w:ind w:left="3600" w:firstLine="720"/>
        <w:jc w:val="both"/>
        <w:rPr>
          <w:rFonts w:ascii="Calibri" w:eastAsia="Calibri" w:hAnsi="Calibri" w:cs="Calibri"/>
          <w:i/>
          <w:sz w:val="26"/>
          <w:szCs w:val="26"/>
          <w:highlight w:val="white"/>
        </w:rPr>
      </w:pPr>
    </w:p>
    <w:p w:rsidR="00000000" w:rsidRPr="00000000" w:rsidP="00000000" w14:paraId="00000022">
      <w:pPr>
        <w:shd w:val="clear" w:color="auto" w:fill="FFFFFF"/>
        <w:spacing w:before="200" w:after="200"/>
        <w:ind w:left="0" w:firstLine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ab/>
        <w:t>Sendo assim, o Projeto de Lei em análise prevê a participação da coletividade para contribuir na proteção de animais, sendo uma iniciativa do poder legislativo e fiscalização do poder público.</w:t>
      </w:r>
    </w:p>
    <w:p w:rsidR="00000000" w:rsidRPr="00000000" w:rsidP="00000000" w14:paraId="00000023">
      <w:pPr>
        <w:shd w:val="clear" w:color="auto" w:fill="FFFFFF"/>
        <w:spacing w:before="200" w:after="200"/>
        <w:ind w:left="0"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Todavia, o parecer mencionado emitido pela SGP (CONSULTA/0596/2021/JG/G) recomenda especial atenção com relação ao artigo 4° do Projeto de Lei em análise, por incumbir ao Poder Executivo de regulamentar a lei oriunda do presente projeto, caso aprovado. Considerando que a atribuição de regulamentação da administração é do chefe do Executivo, com base no artigo 71, inciso II da Lei Orgânica do Município de Mogi Mirim, não se faz necessário a autorização legislativa em leis de iniciativa parlamentar que contenham dispositivos que autorizem a sua regulamentação. Entretanto, não há qualquer imposição de obrigação aos órgãos públicos. </w:t>
      </w:r>
    </w:p>
    <w:p w:rsidR="00000000" w:rsidRPr="00000000" w:rsidP="00000000" w14:paraId="0000002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709"/>
        <w:jc w:val="both"/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Dessa forma, q</w:t>
      </w:r>
      <w:r w:rsidRPr="00000000"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uanto ao aspecto constitucional, legal e regimental, denota-se que o presente projeto não apresenta conflitos junto ao ordenamento jurídico vigente, não havendo vícios de constitucionalidade.</w:t>
      </w:r>
    </w:p>
    <w:p w:rsidR="00000000" w:rsidRPr="00000000" w:rsidP="00000000" w14:paraId="0000002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709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Por fim e no tocante ao aspecto gramatical e lógico, verifica-se que houve respeito às regras ortográficas e técnica legislativa, não havendo apontamentos neste sentido.</w:t>
      </w:r>
    </w:p>
    <w:p w:rsidR="00000000" w:rsidRPr="00000000" w:rsidP="00000000" w14:paraId="0000002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709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>Portanto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, seja no âmbito jurídico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e 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gramatical não se vislumbra irregularidades na propositura ora analisada, motivo pelo qual não se verifica óbices para continuidade da proposta apresentada pel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>a nobre vereadora</w:t>
      </w: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.</w:t>
      </w:r>
    </w:p>
    <w:p w:rsidR="00000000" w:rsidRPr="00000000" w:rsidP="00000000" w14:paraId="0000002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 </w:t>
      </w:r>
    </w:p>
    <w:p w:rsidR="00000000" w:rsidRPr="00000000" w:rsidP="00000000" w14:paraId="0000002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2C">
      <w:pPr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2D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2E">
      <w:pPr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</w:t>
        <w:tab/>
        <w:t>O Relator não propõe qualquer alteração ao Projeto de Lei sob análise.</w:t>
      </w:r>
    </w:p>
    <w:p w:rsidR="00000000" w:rsidRPr="00000000" w:rsidP="00000000" w14:paraId="0000002F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30">
      <w:pPr>
        <w:jc w:val="both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IV. Decisão do Relator.</w:t>
      </w:r>
    </w:p>
    <w:p w:rsidR="00000000" w:rsidRPr="00000000" w:rsidP="00000000" w14:paraId="00000031">
      <w:pPr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2">
      <w:pPr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Portanto, diante do exposto, esta relatoria considera que a presente propositura não apresenta vícios de constitucionalidade, recebendo assim parecer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FAVORÁVEL.</w:t>
      </w:r>
    </w:p>
    <w:p w:rsidR="00000000" w:rsidRPr="00000000" w:rsidP="00000000" w14:paraId="0000003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3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3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6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7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8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VEREADOR </w:t>
      </w: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JOÃO VICTOR GASPARINI</w:t>
      </w:r>
    </w:p>
    <w:p w:rsidR="00000000" w:rsidRPr="00000000" w:rsidP="00000000" w14:paraId="0000003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Presidente /relator</w:t>
      </w:r>
    </w:p>
    <w:p w:rsidR="00000000" w:rsidRPr="00000000" w:rsidP="00000000" w14:paraId="0000003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3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4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4C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PARECER N.º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 xml:space="preserve"> 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 xml:space="preserve">  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/2022 DA COMISSÃO DE JUSTIÇA E REDAÇÃO</w:t>
      </w:r>
      <w:r w:rsidRPr="00000000">
        <w:rPr>
          <w:rFonts w:ascii="Calibri" w:eastAsia="Calibri" w:hAnsi="Calibri" w:cs="Calibri"/>
          <w:b/>
          <w:sz w:val="26"/>
          <w:szCs w:val="26"/>
          <w:rtl w:val="0"/>
        </w:rPr>
        <w:t>.</w:t>
      </w:r>
    </w:p>
    <w:p w:rsidR="00000000" w:rsidRPr="00000000" w:rsidP="00000000" w14:paraId="0000004D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4E">
      <w:pPr>
        <w:ind w:firstLine="720"/>
        <w:jc w:val="both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Seguindo o Voto exarado pelo Relator e conforme determina o artigo 35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da Resolução n°  276 de 09 de novembro de 2.010, Regimento Interno da Câmara Municipal de Mogi Mirim, a Comissões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de Justiça</w:t>
      </w:r>
      <w:r w:rsidRPr="00000000">
        <w:rPr>
          <w:rFonts w:ascii="Calibri" w:eastAsia="Calibri" w:hAnsi="Calibri" w:cs="Calibri"/>
          <w:sz w:val="26"/>
          <w:szCs w:val="26"/>
          <w:rtl w:val="0"/>
        </w:rPr>
        <w:t xml:space="preserve"> formaliza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 xml:space="preserve"> o presente </w:t>
      </w:r>
      <w:r w:rsidRPr="00000000">
        <w:rPr>
          <w:rFonts w:ascii="Calibri" w:eastAsia="Calibri" w:hAnsi="Calibri" w:cs="Calibri"/>
          <w:b/>
          <w:color w:val="000000"/>
          <w:sz w:val="26"/>
          <w:szCs w:val="26"/>
          <w:rtl w:val="0"/>
        </w:rPr>
        <w:t>PARECER FAVORÁVEL</w:t>
      </w:r>
      <w:r w:rsidRPr="00000000">
        <w:rPr>
          <w:rFonts w:ascii="Calibri" w:eastAsia="Calibri" w:hAnsi="Calibri" w:cs="Calibri"/>
          <w:color w:val="000000"/>
          <w:sz w:val="26"/>
          <w:szCs w:val="26"/>
          <w:rtl w:val="0"/>
        </w:rPr>
        <w:t>.</w:t>
      </w:r>
    </w:p>
    <w:p w:rsidR="00000000" w:rsidRPr="00000000" w:rsidP="00000000" w14:paraId="0000004F">
      <w:pPr>
        <w:jc w:val="both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0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 xml:space="preserve">Sala das Comissões, em </w:t>
      </w: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>25</w:t>
      </w: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 xml:space="preserve"> de</w:t>
      </w:r>
      <w:r w:rsidRPr="00000000">
        <w:rPr>
          <w:rFonts w:ascii="Calibri" w:eastAsia="Calibri" w:hAnsi="Calibri" w:cs="Calibri"/>
          <w:sz w:val="26"/>
          <w:szCs w:val="26"/>
          <w:highlight w:val="white"/>
          <w:rtl w:val="0"/>
        </w:rPr>
        <w:t xml:space="preserve"> abril </w:t>
      </w: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de 2.022.</w:t>
      </w:r>
    </w:p>
    <w:p w:rsidR="00000000" w:rsidRPr="00000000" w:rsidP="00000000" w14:paraId="00000051">
      <w:pPr>
        <w:spacing w:after="240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2">
      <w:pPr>
        <w:jc w:val="center"/>
        <w:rPr>
          <w:rFonts w:ascii="Calibri" w:eastAsia="Calibri" w:hAnsi="Calibri" w:cs="Calibri"/>
          <w:b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53">
      <w:pPr>
        <w:spacing w:after="240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br/>
      </w:r>
    </w:p>
    <w:p w:rsidR="00000000" w:rsidRPr="00000000" w:rsidP="00000000" w14:paraId="00000054">
      <w:pPr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5">
      <w:pPr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6">
      <w:pPr>
        <w:jc w:val="left"/>
        <w:rPr>
          <w:rFonts w:ascii="Calibri" w:eastAsia="Calibri" w:hAnsi="Calibri" w:cs="Calibri"/>
          <w:b/>
          <w:sz w:val="26"/>
          <w:szCs w:val="26"/>
        </w:rPr>
      </w:pPr>
    </w:p>
    <w:p w:rsidR="00000000" w:rsidRPr="00000000" w:rsidP="00000000" w14:paraId="00000057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rtl w:val="0"/>
        </w:rPr>
        <w:t>VEREADOR JOÃO VICTOR GASPARINI</w:t>
      </w:r>
    </w:p>
    <w:p w:rsidR="00000000" w:rsidRPr="00000000" w:rsidP="00000000" w14:paraId="00000058">
      <w:pPr>
        <w:jc w:val="center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Presidente / RELATOR</w:t>
      </w:r>
    </w:p>
    <w:p w:rsidR="00000000" w:rsidRPr="00000000" w:rsidP="00000000" w14:paraId="00000059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A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B">
      <w:pPr>
        <w:jc w:val="center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C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5D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color w:val="000000"/>
          <w:sz w:val="26"/>
          <w:szCs w:val="26"/>
          <w:highlight w:val="white"/>
          <w:rtl w:val="0"/>
        </w:rPr>
        <w:t>VEREADORA MARA CRISTINA CHOQUETTA</w:t>
      </w:r>
    </w:p>
    <w:p w:rsidR="00000000" w:rsidRPr="00000000" w:rsidP="00000000" w14:paraId="0000005E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Vice-presidente</w:t>
      </w:r>
    </w:p>
    <w:p w:rsidR="00000000" w:rsidRPr="00000000" w:rsidP="00000000" w14:paraId="0000005F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60">
      <w:pPr>
        <w:spacing w:after="240"/>
        <w:rPr>
          <w:rFonts w:ascii="Calibri" w:eastAsia="Calibri" w:hAnsi="Calibri" w:cs="Calibri"/>
          <w:sz w:val="26"/>
          <w:szCs w:val="26"/>
        </w:rPr>
      </w:pPr>
    </w:p>
    <w:p w:rsidR="00000000" w:rsidRPr="00000000" w:rsidP="00000000" w14:paraId="00000061">
      <w:pPr>
        <w:spacing w:after="240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sz w:val="26"/>
          <w:szCs w:val="26"/>
          <w:rtl w:val="0"/>
        </w:rPr>
        <w:br/>
      </w:r>
    </w:p>
    <w:p w:rsidR="00000000" w:rsidRPr="00000000" w:rsidP="00000000" w14:paraId="00000062">
      <w:pPr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b/>
          <w:sz w:val="26"/>
          <w:szCs w:val="26"/>
          <w:highlight w:val="white"/>
          <w:rtl w:val="0"/>
        </w:rPr>
        <w:t>VEREADORA DR. LÚCIA MARIA FERREIRA TENÓRIO</w:t>
      </w:r>
    </w:p>
    <w:p w:rsidR="00000000" w:rsidRPr="00000000" w:rsidP="00000000" w14:paraId="00000063">
      <w:pPr>
        <w:spacing w:after="0"/>
        <w:jc w:val="center"/>
        <w:rPr>
          <w:rFonts w:ascii="Calibri" w:eastAsia="Calibri" w:hAnsi="Calibri" w:cs="Calibri"/>
          <w:sz w:val="26"/>
          <w:szCs w:val="26"/>
        </w:rPr>
      </w:pPr>
      <w:r w:rsidRPr="00000000">
        <w:rPr>
          <w:rFonts w:ascii="Calibri" w:eastAsia="Calibri" w:hAnsi="Calibri" w:cs="Calibri"/>
          <w:color w:val="000000"/>
          <w:sz w:val="26"/>
          <w:szCs w:val="26"/>
          <w:highlight w:val="white"/>
          <w:rtl w:val="0"/>
        </w:rPr>
        <w:t>Membro </w:t>
      </w:r>
    </w:p>
    <w:p w:rsidR="00000000" w:rsidRPr="00000000" w:rsidP="00000000" w14:paraId="00000064">
      <w:pPr>
        <w:spacing w:before="0" w:after="240"/>
        <w:jc w:val="left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</w:p>
    <w:sectPr>
      <w:headerReference w:type="even" r:id="rId4"/>
      <w:headerReference w:type="default" r:id="rId5"/>
      <w:footerReference w:type="default" r:id="rId6"/>
      <w:pgSz w:w="11907" w:h="16840" w:orient="portrait"/>
      <w:pgMar w:top="2268" w:right="1321" w:bottom="1701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7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68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65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38225" cy="752475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644211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66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