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81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119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8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Conforme determina os artigos 35, 37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e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3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9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combinado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s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com artigo 45 da Resolução 276 de 09 de novembro de 2010 – Regimento Interno da Câmara Municipal, a Comissão Permanente de Justiça e Redação, conjuntamente com a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s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Comiss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ões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Permanentes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de Educação, Saúde, Cultura, Esporte e Assistência Social e de Finanças e Orçamento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emitem o presente Relatório acerca do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81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de autoria do Exmo.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a relatoria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do Vereador João Victor  Gasparini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.</w:t>
      </w:r>
    </w:p>
    <w:p w:rsidR="00000000" w:rsidRPr="00000000" w:rsidP="00000000" w14:paraId="00000009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000000" w:rsidRPr="00000000" w:rsidP="00000000" w14:paraId="0000000A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D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81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que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Dispõe sobre abertura de crédito adicional especial suplementar, por transposição de dotações orçamentárias no valor de R$ 6.300,00".</w:t>
      </w:r>
    </w:p>
    <w:p w:rsidR="00000000" w:rsidRPr="00000000" w:rsidP="00000000" w14:paraId="0000000E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ab/>
      </w:r>
    </w:p>
    <w:p w:rsidR="00000000" w:rsidRPr="00000000" w:rsidP="00000000" w14:paraId="0000000F">
      <w:pPr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 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Trata-se de recurso já previsto para a Secretaria de Cultura e Turismo, sendo necessária a transposição orçamentária para a previsão de destinação a artistas e grupos que não possam ser classificados como Pessoas Jurídicas em Editais de Fomento para Cultura e Turismo no município de Mogi Mirim, possibilitando um maior acesso às inscrições e aos recursos.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2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3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>Em análise técnica da matéria, denota-se que não existem óbices jurídicos para tramitação da propositura, posto que a mesma não apresenta mácula em seu bojo.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ab/>
        <w:t>Trata-se de um assunto de competência legislativa do Município, conforme determina o artigo 30, inciso I da Constituição Federal, legislar sobre assuntos de interesse local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: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7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8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9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Já no tocante à legalidade do projeto, a Lei Federal n.º 4.320/64 dispõe que os créditos adicionais especiais são aqueles destinados a despesas para as quais não haja dotação orçamentária específica. Dispõe também que a abertura do crédito especial dependerá da existência de recursos disponíveis para ocorrer a despesa, conforme Arts. 41 e 42:</w:t>
      </w:r>
    </w:p>
    <w:p w:rsidR="00000000" w:rsidRPr="00000000" w:rsidP="00000000" w14:paraId="0000001A">
      <w:pPr>
        <w:shd w:val="clear" w:color="auto" w:fill="FFFFFF"/>
        <w:spacing w:before="240" w:after="240"/>
        <w:ind w:left="3600" w:firstLine="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“Art. 41. Os créditos adicionais classificam-se em:</w:t>
      </w:r>
    </w:p>
    <w:p w:rsidR="00000000" w:rsidRPr="00000000" w:rsidP="00000000" w14:paraId="0000001B">
      <w:pPr>
        <w:shd w:val="clear" w:color="auto" w:fill="FFFFFF"/>
        <w:spacing w:before="240" w:after="240"/>
        <w:ind w:left="3600" w:firstLine="0"/>
        <w:jc w:val="both"/>
        <w:rPr>
          <w:rFonts w:ascii="Calibri" w:eastAsia="Calibri" w:hAnsi="Calibri" w:cs="Calibri"/>
          <w:i/>
          <w:sz w:val="30"/>
          <w:szCs w:val="30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 xml:space="preserve"> I - suplementares, os destinados a refôrço de dotação orçamentária;</w:t>
      </w:r>
    </w:p>
    <w:p w:rsidR="00000000" w:rsidRPr="00000000" w:rsidP="00000000" w14:paraId="0000001C">
      <w:pPr>
        <w:shd w:val="clear" w:color="auto" w:fill="FFFFFF"/>
        <w:spacing w:before="240" w:after="240"/>
        <w:ind w:left="3600" w:firstLine="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II - especiais, os destinados a despesas para as quais não haja dotação orçamentária específica;”</w:t>
      </w:r>
    </w:p>
    <w:p w:rsidR="00000000" w:rsidRPr="00000000" w:rsidP="00000000" w14:paraId="0000001D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Por sua vez, a propositura indica, conforme exigência legal, a fonte de recursos da transposição orçamentária, conforme quadro indicativo constante no corpo do projeto de lei, sendo o recurso anteriormente previsto para ações voltadas à serviços de pessoas jurídicas, que passarão a constar na criação de uma nova ação, voltada à serviços de pessoas físicas. </w:t>
      </w:r>
    </w:p>
    <w:p w:rsidR="00000000" w:rsidRPr="00000000" w:rsidP="00000000" w14:paraId="0000001E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Vale salientar que o Decreto Federal n° 10.755 de 2021, que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Regulamenta a</w:t>
      </w:r>
      <w:hyperlink r:id="rId4" w:history="1">
        <w:r w:rsidRPr="00000000">
          <w:rPr>
            <w:rFonts w:ascii="Calibri" w:eastAsia="Calibri" w:hAnsi="Calibri" w:cs="Calibri"/>
            <w:sz w:val="26"/>
            <w:szCs w:val="26"/>
            <w:rtl w:val="0"/>
          </w:rPr>
          <w:t xml:space="preserve"> Lei nº 8.313, de 23 de dezembro de 1991</w:t>
        </w:r>
      </w:hyperlink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, estabelece a sistemática de execução do Programa Nacional de Apoio à Cultura - PRONAC, altera o </w:t>
      </w:r>
      <w:hyperlink r:id="rId5" w:history="1">
        <w:r w:rsidRPr="00000000">
          <w:rPr>
            <w:rFonts w:ascii="Calibri" w:eastAsia="Calibri" w:hAnsi="Calibri" w:cs="Calibri"/>
            <w:sz w:val="26"/>
            <w:szCs w:val="26"/>
            <w:rtl w:val="0"/>
          </w:rPr>
          <w:t>Decreto nº 6.299, de 12 de dezembro de 2007</w:t>
        </w:r>
      </w:hyperlink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, e o </w:t>
      </w:r>
      <w:hyperlink r:id="rId6" w:history="1">
        <w:r w:rsidRPr="00000000">
          <w:rPr>
            <w:rFonts w:ascii="Calibri" w:eastAsia="Calibri" w:hAnsi="Calibri" w:cs="Calibri"/>
            <w:sz w:val="26"/>
            <w:szCs w:val="26"/>
            <w:rtl w:val="0"/>
          </w:rPr>
          <w:t>Decreto nº 9.891, de 27 de junho de 2019</w:t>
        </w:r>
      </w:hyperlink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, e dá outras providências, também prevê no inciso IV de seu artigo 4º a transferência definitiva e irreversível de numerário ou bens em favor de proponente, sendo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pessoa física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ou jurídica sem fins lucrativos, cujo programa, projeto ou ação cultural tenha sido aprovado pela Secretaria Especial de Cultura do Ministério do Turismo.</w:t>
      </w:r>
    </w:p>
    <w:p w:rsidR="00000000" w:rsidRPr="00000000" w:rsidP="00000000" w14:paraId="0000001F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Dessa forma, quanto ao aspecto constitucional, legal e regimental, denota-se que o presente projeto não apresenta conflitos junto ao ordenamento jurídico vigente, não havendo vícios de inconstitucionalidade.</w:t>
      </w:r>
    </w:p>
    <w:p w:rsidR="00000000" w:rsidRPr="00000000" w:rsidP="00000000" w14:paraId="00000020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1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22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3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Portanto, seja no âmbito jurídico e gramatical não se vislumbra irregularidades na propositura ora analisada, motivo pelo qual não se verifica óbices para continuidade da proposta apresentada pelo Executivo Municipal.</w:t>
      </w:r>
    </w:p>
    <w:p w:rsidR="00000000" w:rsidRPr="00000000" w:rsidP="00000000" w14:paraId="0000002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5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6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7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8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9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A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B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C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FAVORÁVEL.</w:t>
      </w: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0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2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7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8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9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CONJUNTO N.º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/2022 DA COMISSÃO DE JUSTIÇA E REDAÇÃO,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EDUCAÇÃO, SAÚDE, CULTURA, ESPORTE E ASSISTÊNCIA SOCIAL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E COMISSÃO DE FINANÇAS E ORÇAMENTO;</w:t>
      </w:r>
    </w:p>
    <w:p w:rsidR="00000000" w:rsidRPr="00000000" w:rsidP="00000000" w14:paraId="0000004A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B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Seguindo o Voto exarado pelo Relator e conforme determina o artigo 35, 37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e 39, combinados com artigo 45 da Resolução n°  276 de 09 de novembro de 2.010 a Comissão de Justiça e Redação conjuntamente com as Comissões Permanentes de Educação, Saúde, Cultura, Esportes e Assistência Social e de Finanças e Orçamento formalizam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o presente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FAVORÁVEL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.</w:t>
      </w:r>
    </w:p>
    <w:p w:rsidR="00000000" w:rsidRPr="00000000" w:rsidP="00000000" w14:paraId="0000004C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D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01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 de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 Junho 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4E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F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50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2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3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54">
      <w:pPr>
        <w:jc w:val="center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Presidente /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Relator</w:t>
      </w:r>
    </w:p>
    <w:p w:rsidR="00000000" w:rsidRPr="00000000" w:rsidP="00000000" w14:paraId="00000055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6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7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8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59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A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B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C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5D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5E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F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0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1">
      <w:pPr>
        <w:spacing w:before="0" w:after="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2">
      <w:pPr>
        <w:spacing w:after="24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3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rFonts w:ascii="Calibri" w:eastAsia="Calibri" w:hAnsi="Calibri" w:cs="Calibri"/>
          <w:b/>
          <w:sz w:val="26"/>
          <w:szCs w:val="26"/>
          <w:u w:val="single"/>
          <w:rtl w:val="0"/>
        </w:rPr>
        <w:t>DE EDUCAÇÃO, SAÚDE, CULTURA, ESPORTES E ASSISTÊNCIA SOCIAL</w:t>
      </w:r>
    </w:p>
    <w:p w:rsidR="00000000" w:rsidRPr="00000000" w:rsidP="00000000" w14:paraId="00000064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5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6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67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Presidente</w:t>
      </w:r>
    </w:p>
    <w:p w:rsidR="00000000" w:rsidRPr="00000000" w:rsidP="00000000" w14:paraId="00000068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9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A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6B">
      <w:pPr>
        <w:spacing w:after="240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Vice-presidente</w:t>
      </w:r>
    </w:p>
    <w:p w:rsidR="00000000" w:rsidRPr="00000000" w:rsidP="00000000" w14:paraId="0000006C">
      <w:pPr>
        <w:spacing w:after="240"/>
        <w:jc w:val="left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D">
      <w:pPr>
        <w:spacing w:after="240"/>
        <w:jc w:val="left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E">
      <w:pPr>
        <w:spacing w:after="24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6F">
      <w:pPr>
        <w:spacing w:after="24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Membro</w:t>
      </w:r>
    </w:p>
    <w:p w:rsidR="00000000" w:rsidRPr="00000000" w:rsidP="00000000" w14:paraId="00000070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71">
      <w:pPr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2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3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4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5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76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 Presidente </w:t>
      </w:r>
    </w:p>
    <w:p w:rsidR="00000000" w:rsidRPr="00000000" w:rsidP="00000000" w14:paraId="000000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78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79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A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7B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 VEREADOR ALEXANDRE CINTRA</w:t>
      </w:r>
    </w:p>
    <w:p w:rsidR="00000000" w:rsidRPr="00000000" w:rsidP="00000000" w14:paraId="0000007C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7D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7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7F">
      <w:pPr>
        <w:jc w:val="left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80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 VEREADORA MARA CRISTINA CHOQUETTA</w:t>
      </w:r>
    </w:p>
    <w:p w:rsidR="00000000" w:rsidRPr="00000000" w:rsidP="00000000" w14:paraId="00000081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Membro</w:t>
      </w:r>
    </w:p>
    <w:sectPr>
      <w:headerReference w:type="even" r:id="rId7"/>
      <w:headerReference w:type="default" r:id="rId8"/>
      <w:footerReference w:type="default" r:id="rId9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8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0404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8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leis/L8313compilada.htm" TargetMode="External" /><Relationship Id="rId5" Type="http://schemas.openxmlformats.org/officeDocument/2006/relationships/hyperlink" Target="http://www.planalto.gov.br/ccivil_03/_ato2007-2010/2007/decreto/D6299.htm" TargetMode="External" /><Relationship Id="rId6" Type="http://schemas.openxmlformats.org/officeDocument/2006/relationships/hyperlink" Target="http://www.planalto.gov.br/ccivil_03/_Ato2019-2022/2019/Decreto/D9891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