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a transferência da frota de veículos da secretaria de suprimentos para a secretaria de agricultura, considerando que a medida visa, em especial, contribuir para maior celeridade e eficiência nos trabalhos de recuperação de </w:t>
      </w:r>
      <w:r>
        <w:rPr>
          <w:rFonts w:eastAsia="Calibri" w:cs="Calibri"/>
          <w:color w:val="333333"/>
          <w:sz w:val="24"/>
          <w:szCs w:val="24"/>
        </w:rPr>
        <w:t>das estradas rurais do município.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490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A fim de contribuir para aprimorar os serviços municipais, especialmente os de manutenções das estradas rurais municipais, </w:t>
      </w:r>
      <w:r>
        <w:rPr>
          <w:rFonts w:cs="Times New Roman"/>
          <w:b/>
          <w:bCs/>
          <w:sz w:val="24"/>
          <w:szCs w:val="24"/>
          <w:u w:val="none"/>
        </w:rPr>
        <w:t xml:space="preserve">INDICO, com fundamento no artigo 160 da resolução 276/2010 (Regimento interno), considerando o caráter público e social da medida, </w:t>
      </w:r>
      <w:r>
        <w:rPr>
          <w:rFonts w:cs="Times New Roman"/>
          <w:b/>
          <w:bCs/>
          <w:sz w:val="24"/>
          <w:szCs w:val="24"/>
          <w:u w:val="single"/>
        </w:rPr>
        <w:t>a transferência da frota de veículos da secretaria de suprimentos para a secretaria de agricultura do município, com a criação de dotação específica para a manutenção e conservação dos mesmos.</w:t>
      </w:r>
    </w:p>
    <w:p>
      <w:pPr>
        <w:spacing w:before="0" w:after="240" w:line="360" w:lineRule="auto"/>
        <w:ind w:left="-284" w:right="-710" w:firstLine="851"/>
        <w:jc w:val="both"/>
        <w:rPr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Assim, os veículos ficariam sob a responsabilidade da própria secretaria que utiliza referidos bens, contribuindo para dar maior eficiência e celeridade nos trabalhos a serem desempenhados pela secretaria de agricultura.</w:t>
      </w:r>
    </w:p>
    <w:p>
      <w:pPr>
        <w:widowControl/>
        <w:suppressAutoHyphens/>
        <w:bidi w:val="0"/>
        <w:spacing w:before="0" w:after="240" w:line="360" w:lineRule="auto"/>
        <w:ind w:left="-283" w:right="-680" w:firstLine="2041"/>
        <w:jc w:val="both"/>
        <w:rPr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Trata-se de uma alternativa que poderia ser estruturada pela administração pública municipal, para contemplar um orçamento específico para a conservação e manutenção de todos os veículos e máquinas em questão.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>Nesse sentido, ressalto, com fundamento no artigo 160 da resolução 276/2010 (Regimento interno), o caráter público e social da medida sugerida, que servirá como importante instrumento de política pública, visando propiciar o desenvolvimento do setor rural de nosso município, com condições adequadas e dignas para os produtores e moradores locais.</w:t>
      </w:r>
    </w:p>
    <w:p>
      <w:pPr>
        <w:widowControl/>
        <w:suppressAutoHyphens/>
        <w:bidi w:val="0"/>
        <w:spacing w:before="0" w:after="240" w:line="360" w:lineRule="auto"/>
        <w:ind w:left="-283" w:right="-567" w:firstLine="1984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widowControl/>
        <w:suppressAutoHyphens/>
        <w:bidi w:val="0"/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junho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490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solicitando ao executivo. -  </w:t>
      </w:r>
      <w:r>
        <w:rPr>
          <w:rFonts w:cs="Times New Roman"/>
          <w:b w:val="0"/>
          <w:bCs w:val="0"/>
          <w:i/>
          <w:iCs/>
          <w:sz w:val="18"/>
          <w:szCs w:val="18"/>
        </w:rPr>
        <w:t>10 de junho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laudas”)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164819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064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09585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126865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383</Words>
  <Characters>2196</Characters>
  <Application>Microsoft Office Word</Application>
  <DocSecurity>0</DocSecurity>
  <Lines>0</Lines>
  <Paragraphs>21</Paragraphs>
  <ScaleCrop>false</ScaleCrop>
  <Company>Microsoft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31</cp:revision>
  <cp:lastPrinted>2022-05-10T15:30:39Z</cp:lastPrinted>
  <dcterms:created xsi:type="dcterms:W3CDTF">2022-03-03T19:02:00Z</dcterms:created>
  <dcterms:modified xsi:type="dcterms:W3CDTF">2022-06-10T14:37:45Z</dcterms:modified>
  <dc:language>pt-BR</dc:language>
</cp:coreProperties>
</file>