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</w:t>
      </w:r>
      <w:r>
        <w:rPr>
          <w:rFonts w:cs="Calibri"/>
          <w:sz w:val="24"/>
          <w:szCs w:val="24"/>
        </w:rPr>
        <w:t>Departamento de Estradas e Rodagem (DER)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informações e </w:t>
      </w:r>
      <w:r>
        <w:rPr>
          <w:rFonts w:cs="Calibri"/>
          <w:sz w:val="24"/>
          <w:szCs w:val="24"/>
        </w:rPr>
        <w:t xml:space="preserve">cópia do processo administrativo </w:t>
      </w:r>
      <w:r>
        <w:rPr>
          <w:rFonts w:cs="Calibri"/>
          <w:sz w:val="24"/>
          <w:szCs w:val="24"/>
        </w:rPr>
        <w:t>das obras de recapeamento na Rodovia dos Agricultores, que liga os municípios de Mogi Mirim e Artur Nogueira.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</w:t>
      </w: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267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Departamento de Estradas e Rodagem (DR 1) – Campinas, o que segue: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Considerando que estão sendo executadas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obras e serviços de recuperação funcional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da Estrada Municipal ATN-010 (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Rodovia dos Agricultores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), ligação entre SP-332 e SP-340, localizada no município de Artur Nogueira, com 12,300 km de extensão/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Estrada Municipal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MMR-347,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ligação Mogi-Mirim x Artur Nogueira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localizada no município de Mogi-Mirim,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licitada pelo Departamento de Estradas e Rodagem (DER), do Governo do Estado de São Paulo, no valor de R$ 22.618.473,00, que estão sendo feitas pela empresa Compec Galasso Engenharia e Construção LTDA;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i) REQUER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c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ópia do protocolo administrativo refente ao convênio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objetivando a recuperação funcional da Rodovia dos Agricultores, contemplando, em especial, 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termo de convênio firmado entre o município de Mogi Mirim/SP e o Departamento de Estradas de Rodagem (DER)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, bem como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ofícios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encaminhados pelo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 DER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à Prefeitura de Mogi Mirim ao longo da execução das obras,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e respectivas respostas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encaminhadas por parte da administração referente ao referido objeto.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ii)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Informar se o município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de Mogi Mirim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 está cumprindo com as obrigações estabelecidas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no referido termo de convênio. Especificando se foram liberadas áreas necessárias para as obras, se foram removidas linhas aéreas e/ou subterrâneas que dificultam a execução das obras, se fez desapropriações ou adotou medidas pertinentes e se construiu passagens de gado.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Em caso de eventuais inconformidades, especificar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iv) Informar se as intervenções estão respeitando as tubulações pré existentes para drenagem de águas pluviais, especialmente onde estão colocando as canaletas, e esclarecer se o sistema de drenagem que est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á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sendo feito atende aos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parâmetros técnicos necessários.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v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) Informar sobre a ausência de acostamento e a redução das dimensões pré existentes na referida via, bem como se está atendendo a legislação aplicável.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Ainda ressalto que existe uma preocupação com a segurança dos condutores e pedestres, considerando a ocorrência de acidentes recentes, razão pela qual solicito que sejam adotadas medidas para a melhoria da sinalização e demais ações pertinentes para preservar a vida e o bem-estar das pessoas.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Por fim,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reitero os votos de respeito e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aproveito o ensejo para agradecer o Departamento de Estradas e Rodagem (DER-1) – Campinas pela postura comprometida e profissional do Sr. Valdecir Vieira e demais representantes, que compareceram no município de Mogi Mirim no dia 03 de junho de 2022, em uma reunião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realizada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com a ora signatária e produtores rurais sobre as obras que estão sendo realizadas na Rodovia dos Agricultores em nosso município.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10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80" w:right="-567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Indicação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267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2022, de autoria da Vereadora Joelma Franco da Cunha, indicando ao executivo -  - </w:t>
      </w:r>
      <w:r>
        <w:rPr>
          <w:rFonts w:cs="Times New Roman"/>
          <w:b w:val="0"/>
          <w:bCs w:val="0"/>
          <w:i/>
          <w:iCs/>
          <w:sz w:val="20"/>
          <w:szCs w:val="20"/>
        </w:rPr>
        <w:t>10 de junho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-  Doc de 3 laudas”)</w:t>
      </w:r>
    </w:p>
    <w:p>
      <w:pPr>
        <w:widowControl/>
        <w:suppressAutoHyphens/>
        <w:bidi w:val="0"/>
        <w:spacing w:before="0" w:after="200" w:line="360" w:lineRule="auto"/>
        <w:ind w:left="-680" w:right="-567" w:firstLine="0"/>
        <w:jc w:val="both"/>
        <w:rPr>
          <w:rFonts w:ascii="Arial" w:hAnsi="Arial"/>
          <w:sz w:val="20"/>
          <w:szCs w:val="20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0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Ao Excelentíssimo Senhor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Engº Cleiton Luiz de Sousa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1134" w:right="-907" w:firstLine="0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Diretor Regional do Departamento de Estradas e Rodagem (DR 1) - CAMPINAS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Endereço: Rua. Comandante Ataliba Eurides Vieira, s/n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Bairro: Jd. Santana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 w:cs="Times New Roman"/>
          <w:b/>
          <w:bCs/>
          <w:i/>
          <w:iCs/>
          <w:sz w:val="24"/>
          <w:szCs w:val="24"/>
          <w:u w:val="none"/>
          <w:shd w:val="clear" w:color="auto" w:fill="FFFFFF"/>
        </w:rPr>
        <w:t>CEP.: 13088-648</w:t>
      </w:r>
    </w:p>
    <w:sectPr>
      <w:headerReference w:type="default" r:id="rId4"/>
      <w:footerReference w:type="default" r:id="rId5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090" distR="85090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280310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38398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596</Words>
  <Characters>3348</Characters>
  <Application>Microsoft Office Word</Application>
  <DocSecurity>0</DocSecurity>
  <Lines>0</Lines>
  <Paragraphs>32</Paragraphs>
  <ScaleCrop>false</ScaleCrop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19</cp:revision>
  <cp:lastPrinted>2022-04-27T15:52:27Z</cp:lastPrinted>
  <dcterms:created xsi:type="dcterms:W3CDTF">2022-03-03T14:11:00Z</dcterms:created>
  <dcterms:modified xsi:type="dcterms:W3CDTF">2022-06-10T15:37:20Z</dcterms:modified>
  <dc:language>pt-BR</dc:language>
</cp:coreProperties>
</file>