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Projeto de Lei n.º 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de 2022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Processo: 53 de 2022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Exposição da Matéria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De autoria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Nobre Vereador Alexandre Cintra, o Projeto de Lei em epígrafe 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 no Calendário Oficial do Município de Mogi Mirim, a ‘SEMANA MUNICIPAL ANTIVANDALISMO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  <w:tab/>
        <w:t xml:space="preserve">O objetivo do Projeto apresentado pelo Nobre Vereador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 a instituição de uma semana no mês de abril de todo ano voltada para a realização de ações educativas para a conscientização da população sobre a importância da preservação dos espaços públicos e da cidade. O programa visa ainda a integração entre o Poder Público, os Conselhos Municipais e a sociedade civil sobre ações antivandalismo e sobre preservação de Bens Públicos.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II. Do mérito e conclusões do relator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Inicialmente cumpre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destacar que o assunto se enquadra nas competências legislativas do Município, conforme determina o artigo 30, inciso I da Constituição Federal, tratando sobre assuntos de interesse local: 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="240" w:lineRule="auto"/>
        <w:ind w:left="4320" w:firstLine="0"/>
        <w:jc w:val="left"/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“Art. 30. Compete aos Municípios: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left"/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I - legislar sobre assuntos de interesse local;”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left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sua vez, a Lei Orgânica do Município de Mogi Mirim em seu artigo 226, parágrafo segundo, fala sobre a disposição de Leis de fixação de datas comemorativas no âmbito do Município:</w:t>
      </w:r>
    </w:p>
    <w:p w:rsidR="00000000" w:rsidDel="00000000" w:rsidP="00000000" w:rsidRDefault="00000000" w:rsidRPr="00000000" w14:paraId="00000013">
      <w:pPr>
        <w:spacing w:line="240" w:lineRule="auto"/>
        <w:ind w:left="432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“Art. 226. O Município estimulará o desenvolvimento das ciências, das artes, das letras e da cultura em geral, observando o disposto nas Constituições Federal e Estadual. </w:t>
      </w:r>
    </w:p>
    <w:p w:rsidR="00000000" w:rsidDel="00000000" w:rsidP="00000000" w:rsidRDefault="00000000" w:rsidRPr="00000000" w14:paraId="00000014">
      <w:pPr>
        <w:spacing w:line="240" w:lineRule="auto"/>
        <w:ind w:left="7200" w:firstLine="72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432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§ 2º A lei disporá sobre a fixação de datas comemorativas de alta significação para o Município.” </w:t>
      </w:r>
    </w:p>
    <w:p w:rsidR="00000000" w:rsidDel="00000000" w:rsidP="00000000" w:rsidRDefault="00000000" w:rsidRPr="00000000" w14:paraId="00000016">
      <w:pPr>
        <w:spacing w:line="240" w:lineRule="auto"/>
        <w:ind w:left="432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Vale ressaltar que a Lei Federal n° 10.802 de 2022 (Código Civil), em seu artigo 99, faz a descrição de bens públicos, como:</w:t>
      </w:r>
    </w:p>
    <w:p w:rsidR="00000000" w:rsidDel="00000000" w:rsidP="00000000" w:rsidRDefault="00000000" w:rsidRPr="00000000" w14:paraId="00000018">
      <w:pPr>
        <w:shd w:fill="ffffff" w:val="clear"/>
        <w:spacing w:after="200" w:before="200" w:line="240" w:lineRule="auto"/>
        <w:ind w:left="432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“Art. 99. São bens públicos:</w:t>
      </w:r>
    </w:p>
    <w:p w:rsidR="00000000" w:rsidDel="00000000" w:rsidP="00000000" w:rsidRDefault="00000000" w:rsidRPr="00000000" w14:paraId="00000019">
      <w:pPr>
        <w:shd w:fill="ffffff" w:val="clear"/>
        <w:spacing w:after="200" w:before="200" w:line="240" w:lineRule="auto"/>
        <w:ind w:left="432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 - os de uso comum do povo, tais como rios, mares, estradas, ruas e praças;</w:t>
      </w:r>
    </w:p>
    <w:p w:rsidR="00000000" w:rsidDel="00000000" w:rsidP="00000000" w:rsidRDefault="00000000" w:rsidRPr="00000000" w14:paraId="0000001A">
      <w:pPr>
        <w:shd w:fill="ffffff" w:val="clear"/>
        <w:spacing w:after="200" w:before="200" w:line="240" w:lineRule="auto"/>
        <w:ind w:left="432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II - os de uso especial, tais como edifícios ou terrenos destinados a serviço ou estabelecimento da administração federal, estadual, territorial ou municipal, inclusive os de suas autarquias;</w:t>
      </w:r>
    </w:p>
    <w:p w:rsidR="00000000" w:rsidDel="00000000" w:rsidP="00000000" w:rsidRDefault="00000000" w:rsidRPr="00000000" w14:paraId="0000001B">
      <w:pPr>
        <w:shd w:fill="ffffff" w:val="clear"/>
        <w:spacing w:after="200" w:before="200" w:line="240" w:lineRule="auto"/>
        <w:ind w:left="432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III - os dominicais, que constituem o patrimônio das pessoas jurídicas de direito público, como objeto de direito pessoal, ou real, de cada uma dessas entidades.”</w:t>
      </w:r>
    </w:p>
    <w:p w:rsidR="00000000" w:rsidDel="00000000" w:rsidP="00000000" w:rsidRDefault="00000000" w:rsidRPr="00000000" w14:paraId="0000001C">
      <w:pPr>
        <w:shd w:fill="ffffff" w:val="clear"/>
        <w:spacing w:after="200" w:before="200" w:line="240" w:lineRule="auto"/>
        <w:ind w:left="432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before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Do mesmo, o Decreto-Lei Federal nº 2.848 de 1940 (Código Penal) define como crime e dano qualificado a destruição ou deterioração ao Patrimônio Público, em seu artigo 163, inciso III do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parágrafo único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pena prevista para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white"/>
          <w:rtl w:val="0"/>
        </w:rPr>
        <w:t xml:space="preserve">detenção, de seis meses a três anos, e multa, além da pena correspondente à violência”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Ademais, a Lei Federal n° 9.605 de 1998, em seu artigo 65, prevê a punição nos casos de pichação à edificações ou monumentos urbanos.</w:t>
      </w:r>
    </w:p>
    <w:p w:rsidR="00000000" w:rsidDel="00000000" w:rsidP="00000000" w:rsidRDefault="00000000" w:rsidRPr="00000000" w14:paraId="0000001E">
      <w:pPr>
        <w:shd w:fill="ffffff" w:val="clear"/>
        <w:spacing w:after="200" w:before="20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relação à iniciativa do projeto, entendemos que se enquadra como concorrente, uma vez que a matéria não está inserida no rol de iniciativas privativas dos chefes dos Poderes Executivo Federal, Estadual e Municipal.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Entretanto, em análise ao artigo 2° do Projeto de Lei n° 37 de 2022, identificamos que o mesmo possui vícios de inconstitucionalidade, uma vez que pretende criar e fixar atribuições às secretarias municipais, indo de encontro às competências privativas do chefe do Poder Executivo, de acordo com o inciso III do artigo 51 da Lei Orgânica de Mogi Mirim.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Constatado o conflito com o ordenamento constitucional e jurídico vigente, 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Comissão entrou em contato com o Nobre Vereador Alexandre Cintra, que atendeu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solicitação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Comissão e propôs EMENDA  MODIFICATIVA n° 01 ao Artigo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alterando sua redação, adequando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mesm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fim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atender as exigências constitucionais para sua tramitação junto à Casa de Leis, uma vez que a sua aprovação não implica diretamente em invadir a seara dos projetos de exclusividade do Prefeito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709"/>
        <w:jc w:val="both"/>
        <w:rPr>
          <w:rFonts w:ascii="Arial" w:cs="Arial" w:eastAsia="Arial" w:hAnsi="Arial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Portanto, seja no âmbito jurídico ou gramatical não há irregularidades na propositura ora analisada, motivo pelo qual não se verifica óbices para continuidade da proposta apresentada pelo Nobre Vereador.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 Substitutivos, Emendas ou subemendas ao Projeto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O Relator não propõe qualquer alteração ao Projeto de Lei sob análise.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IV. Decisão do Relator.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Portanto, diante do exposto, esta relatoria considera que a presente propositura não apresenta vícios de constitucionalidade, recebendo assim parecer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FAVORÁVEL.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VEREADOR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Presidente /relator</w:t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0"/>
        </w:tabs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N.º  ______/2022 DA COMISSÃO DE JUSTIÇA E REDAÇÃO  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PROJETO DE LEI 36/2022.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Seguindo o Voto exarado pela Relatora e conforme determina o artigo 35, a Comissão de Justiça e Redação formaliza o presente </w:t>
      </w: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FAVORÁVEL</w:t>
      </w:r>
      <w:r w:rsidDel="00000000" w:rsidR="00000000" w:rsidRPr="00000000"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Sala das Comissões, em 13 de Maio de 2022.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VEREADOR JOÃO VICTOR GASPARINI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PRESIDENTE</w:t>
      </w:r>
      <w:r w:rsidDel="00000000" w:rsidR="00000000" w:rsidRPr="00000000">
        <w:rPr>
          <w:rFonts w:ascii="Gadugi" w:cs="Gadugi" w:eastAsia="Gadugi" w:hAnsi="Gadugi"/>
          <w:b w:val="1"/>
          <w:sz w:val="24"/>
          <w:szCs w:val="24"/>
          <w:highlight w:val="white"/>
          <w:rtl w:val="0"/>
        </w:rPr>
        <w:t xml:space="preserve"> / 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VEREADORA MARA CRISTINA CHOQUETTA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VICE - PRESIDENTE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VEREADORA  LÚCIA MARIA TENÓRIO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985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  <w:font w:name="Gadug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7513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2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7513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