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RELATÓRIO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Projeto de Lei n.º 3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de 2022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Processo: 53 de 2022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</w:t>
        <w:tab/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I. Exposição da Matéria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De autoria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 Nobre Vereador Alexandre Cintra, o Projeto de Lei em epígrafe “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Institui no Calendário Oficial do Município de Mogi Mirim, a ‘SEMANA MUNICIPAL ANTIVANDALISMO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  <w:tab/>
        <w:t xml:space="preserve">O objetivo do Projeto apresentado pelo Nobre Vereador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é a instituição de uma semana no mês de abril de todo ano voltada para a realização de ações educativas para a conscientização da população sobre a importância da preservação dos espaços públicos e da cidade. O programa visa ainda a integração entre o Poder Público, os Conselhos Municipais e a sociedade civil sobre ações antivandalismo e sobre preservação de Bens Públicos.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II. Do mérito e conclusões do relator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Inicialmente cumpre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destacar que o assunto se enquadra nas competências legislativas do Município, conforme determina o artigo 30, inciso I da Constituição Federal, tratando sobre assuntos de interesse local: </w:t>
      </w:r>
    </w:p>
    <w:p w:rsidR="00000000" w:rsidDel="00000000" w:rsidP="00000000" w:rsidRDefault="00000000" w:rsidRPr="00000000" w14:paraId="0000000F">
      <w:pPr>
        <w:shd w:fill="ffffff" w:val="clear"/>
        <w:spacing w:after="200" w:before="200" w:line="240" w:lineRule="auto"/>
        <w:ind w:left="4320" w:firstLine="0"/>
        <w:jc w:val="left"/>
        <w:rPr>
          <w:rFonts w:ascii="Arial" w:cs="Arial" w:eastAsia="Arial" w:hAnsi="Arial"/>
          <w:i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i w:val="1"/>
          <w:sz w:val="26"/>
          <w:szCs w:val="26"/>
          <w:rtl w:val="0"/>
        </w:rPr>
        <w:t xml:space="preserve">“Art. 30. Compete aos Municípios: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firstLine="0"/>
        <w:jc w:val="left"/>
        <w:rPr>
          <w:rFonts w:ascii="Arial" w:cs="Arial" w:eastAsia="Arial" w:hAnsi="Arial"/>
          <w:i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i w:val="1"/>
          <w:sz w:val="26"/>
          <w:szCs w:val="26"/>
          <w:rtl w:val="0"/>
        </w:rPr>
        <w:t xml:space="preserve">I - legislar sobre assuntos de interesse local;”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firstLine="0"/>
        <w:jc w:val="left"/>
        <w:rPr>
          <w:rFonts w:ascii="Calibri" w:cs="Calibri" w:eastAsia="Calibri" w:hAnsi="Calibri"/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Por sua vez, a Lei Orgânica do Município de Mogi Mirim em seu artigo 226, parágrafo segundo, fala sobre a disposição de Leis de fixação de datas comemorativas no âmbito do Município:</w:t>
      </w:r>
    </w:p>
    <w:p w:rsidR="00000000" w:rsidDel="00000000" w:rsidP="00000000" w:rsidRDefault="00000000" w:rsidRPr="00000000" w14:paraId="00000013">
      <w:pPr>
        <w:spacing w:line="240" w:lineRule="auto"/>
        <w:ind w:left="4320" w:firstLine="0"/>
        <w:jc w:val="both"/>
        <w:rPr>
          <w:rFonts w:ascii="Arial" w:cs="Arial" w:eastAsia="Arial" w:hAnsi="Arial"/>
          <w:i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“Art. 226. O Município estimulará o desenvolvimento das ciências, das artes, das letras e da cultura em geral, observando o disposto nas Constituições Federal e Estadual. </w:t>
      </w:r>
    </w:p>
    <w:p w:rsidR="00000000" w:rsidDel="00000000" w:rsidP="00000000" w:rsidRDefault="00000000" w:rsidRPr="00000000" w14:paraId="00000014">
      <w:pPr>
        <w:spacing w:line="240" w:lineRule="auto"/>
        <w:ind w:left="7200" w:firstLine="720"/>
        <w:jc w:val="both"/>
        <w:rPr>
          <w:rFonts w:ascii="Arial" w:cs="Arial" w:eastAsia="Arial" w:hAnsi="Arial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left="4320" w:firstLine="0"/>
        <w:jc w:val="both"/>
        <w:rPr>
          <w:rFonts w:ascii="Arial" w:cs="Arial" w:eastAsia="Arial" w:hAnsi="Arial"/>
          <w:i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§ 2º A lei disporá sobre a fixação de datas comemorativas de alta significação para o Município.” </w:t>
      </w:r>
    </w:p>
    <w:p w:rsidR="00000000" w:rsidDel="00000000" w:rsidP="00000000" w:rsidRDefault="00000000" w:rsidRPr="00000000" w14:paraId="00000016">
      <w:pPr>
        <w:spacing w:line="240" w:lineRule="auto"/>
        <w:ind w:left="4320" w:firstLine="0"/>
        <w:jc w:val="both"/>
        <w:rPr>
          <w:rFonts w:ascii="Arial" w:cs="Arial" w:eastAsia="Arial" w:hAnsi="Arial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ind w:lef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Vale ressaltar que a Lei Federal n° 10.802 de 2022 (Código Civil), em seu artigo 99, faz a descrição de bens públicos, como:</w:t>
      </w:r>
    </w:p>
    <w:p w:rsidR="00000000" w:rsidDel="00000000" w:rsidP="00000000" w:rsidRDefault="00000000" w:rsidRPr="00000000" w14:paraId="00000018">
      <w:pPr>
        <w:shd w:fill="ffffff" w:val="clear"/>
        <w:spacing w:after="200" w:before="200" w:line="240" w:lineRule="auto"/>
        <w:ind w:left="4320" w:firstLine="0"/>
        <w:jc w:val="both"/>
        <w:rPr>
          <w:rFonts w:ascii="Arial" w:cs="Arial" w:eastAsia="Arial" w:hAnsi="Arial"/>
          <w:i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“Art. 99. São bens públicos:</w:t>
      </w:r>
    </w:p>
    <w:p w:rsidR="00000000" w:rsidDel="00000000" w:rsidP="00000000" w:rsidRDefault="00000000" w:rsidRPr="00000000" w14:paraId="00000019">
      <w:pPr>
        <w:shd w:fill="ffffff" w:val="clear"/>
        <w:spacing w:after="200" w:before="200" w:line="240" w:lineRule="auto"/>
        <w:ind w:left="4320" w:firstLine="0"/>
        <w:jc w:val="both"/>
        <w:rPr>
          <w:rFonts w:ascii="Arial" w:cs="Arial" w:eastAsia="Arial" w:hAnsi="Arial"/>
          <w:i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I - os de uso comum do povo, tais como rios, mares, estradas, ruas e praças;</w:t>
      </w:r>
    </w:p>
    <w:p w:rsidR="00000000" w:rsidDel="00000000" w:rsidP="00000000" w:rsidRDefault="00000000" w:rsidRPr="00000000" w14:paraId="0000001A">
      <w:pPr>
        <w:shd w:fill="ffffff" w:val="clear"/>
        <w:spacing w:after="200" w:before="200" w:line="240" w:lineRule="auto"/>
        <w:ind w:left="4320" w:firstLine="0"/>
        <w:jc w:val="both"/>
        <w:rPr>
          <w:rFonts w:ascii="Arial" w:cs="Arial" w:eastAsia="Arial" w:hAnsi="Arial"/>
          <w:i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II - os de uso especial, tais como edifícios ou terrenos destinados a serviço ou estabelecimento da administração federal, estadual, territorial ou municipal, inclusive os de suas autarquias;</w:t>
      </w:r>
    </w:p>
    <w:p w:rsidR="00000000" w:rsidDel="00000000" w:rsidP="00000000" w:rsidRDefault="00000000" w:rsidRPr="00000000" w14:paraId="0000001B">
      <w:pPr>
        <w:shd w:fill="ffffff" w:val="clear"/>
        <w:spacing w:after="200" w:before="200" w:line="240" w:lineRule="auto"/>
        <w:ind w:left="4320" w:firstLine="0"/>
        <w:jc w:val="both"/>
        <w:rPr>
          <w:rFonts w:ascii="Arial" w:cs="Arial" w:eastAsia="Arial" w:hAnsi="Arial"/>
          <w:i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III - os dominicais, que constituem o patrimônio das pessoas jurídicas de direito público, como objeto de direito pessoal, ou real, de cada uma dessas entidades.”</w:t>
      </w:r>
    </w:p>
    <w:p w:rsidR="00000000" w:rsidDel="00000000" w:rsidP="00000000" w:rsidRDefault="00000000" w:rsidRPr="00000000" w14:paraId="0000001C">
      <w:pPr>
        <w:shd w:fill="ffffff" w:val="clear"/>
        <w:spacing w:after="200" w:before="200" w:line="240" w:lineRule="auto"/>
        <w:ind w:left="4320" w:firstLine="0"/>
        <w:jc w:val="both"/>
        <w:rPr>
          <w:rFonts w:ascii="Arial" w:cs="Arial" w:eastAsia="Arial" w:hAnsi="Arial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200" w:before="20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Do mesmo, o Decreto-Lei Federal nº 2.848 de 1940 (Código Penal) define como crime e dano qualificado a destruição ou deterioração ao Patrimônio Público, em seu artigo 163, inciso III do 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parágrafo único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com pena prevista para 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highlight w:val="white"/>
          <w:rtl w:val="0"/>
        </w:rPr>
        <w:t xml:space="preserve">detenção, de seis meses a três anos, e multa, além da pena correspondente à violência”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Ademais, a Lei Federal n° 9.605 de 1998, em seu artigo 65, prevê a punição nos casos de pichação à edificações ou monumentos urbanos.</w:t>
      </w:r>
    </w:p>
    <w:p w:rsidR="00000000" w:rsidDel="00000000" w:rsidP="00000000" w:rsidRDefault="00000000" w:rsidRPr="00000000" w14:paraId="0000001E">
      <w:pPr>
        <w:shd w:fill="ffffff" w:val="clear"/>
        <w:spacing w:after="200" w:before="20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Com relação à iniciativa do projeto, entendemos que se enquadra como concorrente, uma vez que a matéria não está inserida no rol de iniciativas privativas dos chefes dos Poderes Executivo Federal, Estadual e Municipal.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Entretanto, em análise ao artigo 2° do Projeto de Lei n° 37 de 2022, identificamos que o mesmo possui vícios de inconstitucionalidade, uma vez que pretende criar e fixar atribuições às secretarias municipais, indo de encontro às competências privativas do chefe do Poder Executivo, de acordo com o inciso III do artigo 51 da Lei Orgânica de Mogi Mirim.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Constatado o conflito com o ordenamento constitucional e jurídico vigente, 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Comissão entrou em contato com o Nobre Vereador Alexandre Cintra, que atendeu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solicitação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 Comissão e propôs EMENDA  MODIFICATIVA n° 01 ao Artigo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alterando sua redação, adequando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mesm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fim de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atender as exigências constitucionais para sua tramitação junto à Casa de Leis, uma vez que a sua aprovação não implica diretamente em invadir a seara dos projetos de exclusividade do Prefeito Municipal.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ind w:firstLine="709"/>
        <w:jc w:val="both"/>
        <w:rPr>
          <w:rFonts w:ascii="Arial" w:cs="Arial" w:eastAsia="Arial" w:hAnsi="Arial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Portanto, seja no âmbito jurídico ou gramatical não há irregularidades na propositura ora analisada, motivo pelo qual não se verifica óbices para continuidade da proposta apresentada pelo Nobre Vereador.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III. Substitutivos, Emendas ou subemendas ao Projeto</w:t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O Relator não propõe qualquer alteração ao Projeto de Lei sob análise.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IV. Decisão do Relator.</w:t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Portanto, diante do exposto, esta relatoria considera que a presente propositura não apresenta vícios de constitucionalidade, recebendo assim parecer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FAVORÁVEL.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left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left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VEREADOR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highlight w:val="white"/>
          <w:rtl w:val="0"/>
        </w:rPr>
        <w:t xml:space="preserve">JOÃO VICTOR GASPARINI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Presidente /relator</w:t>
      </w:r>
    </w:p>
    <w:p w:rsidR="00000000" w:rsidDel="00000000" w:rsidP="00000000" w:rsidRDefault="00000000" w:rsidRPr="00000000" w14:paraId="0000002F">
      <w:pPr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0"/>
        </w:tabs>
        <w:spacing w:after="0" w:before="0" w:line="240" w:lineRule="auto"/>
        <w:ind w:left="0" w:right="0" w:firstLine="0"/>
        <w:jc w:val="left"/>
        <w:rPr>
          <w:rFonts w:ascii="Gadugi" w:cs="Gadugi" w:eastAsia="Gadugi" w:hAnsi="Gadug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0"/>
        </w:tabs>
        <w:spacing w:after="0" w:before="0" w:line="240" w:lineRule="auto"/>
        <w:ind w:left="0" w:right="0" w:firstLine="0"/>
        <w:jc w:val="left"/>
        <w:rPr>
          <w:rFonts w:ascii="Gadugi" w:cs="Gadugi" w:eastAsia="Gadugi" w:hAnsi="Gadug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0"/>
        </w:tabs>
        <w:spacing w:after="0" w:before="0" w:line="240" w:lineRule="auto"/>
        <w:ind w:left="0" w:right="0" w:firstLine="0"/>
        <w:jc w:val="left"/>
        <w:rPr>
          <w:rFonts w:ascii="Gadugi" w:cs="Gadugi" w:eastAsia="Gadugi" w:hAnsi="Gadug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PARECER  N.º  ______/2022 DA COMISSÃO DE JUSTIÇA E REDAÇÃO  AO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PROJETO DE LEI 36/2022.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Seguindo o Voto exarado pela Relatora e conforme determina o artigo 35, a Comissão de Justiça e Redação formaliza o presente </w:t>
      </w:r>
      <w:r w:rsidDel="00000000" w:rsidR="00000000" w:rsidRPr="00000000"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PARECER FAVORÁVEL</w:t>
      </w:r>
      <w:r w:rsidDel="00000000" w:rsidR="00000000" w:rsidRPr="00000000">
        <w:rPr>
          <w:rFonts w:ascii="Gadugi" w:cs="Gadugi" w:eastAsia="Gadugi" w:hAnsi="Gadug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Sala das Comissões, em 13 de Maio de 2022.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single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single"/>
          <w:vertAlign w:val="baseline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VEREADOR JOÃO VICTOR GASPARINI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PRESIDENTE</w:t>
      </w:r>
      <w:r w:rsidDel="00000000" w:rsidR="00000000" w:rsidRPr="00000000">
        <w:rPr>
          <w:rFonts w:ascii="Gadugi" w:cs="Gadugi" w:eastAsia="Gadugi" w:hAnsi="Gadugi"/>
          <w:b w:val="1"/>
          <w:sz w:val="24"/>
          <w:szCs w:val="24"/>
          <w:highlight w:val="white"/>
          <w:rtl w:val="0"/>
        </w:rPr>
        <w:t xml:space="preserve"> / RELATOR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dugi" w:cs="Gadugi" w:eastAsia="Gadugi" w:hAnsi="Gadugi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dugi" w:cs="Gadugi" w:eastAsia="Gadugi" w:hAnsi="Gadugi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dugi" w:cs="Gadugi" w:eastAsia="Gadugi" w:hAnsi="Gadugi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dugi" w:cs="Gadugi" w:eastAsia="Gadugi" w:hAnsi="Gadugi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dugi" w:cs="Gadugi" w:eastAsia="Gadugi" w:hAnsi="Gadugi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VEREADORA MARA CRISTINA CHOQUETTA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VICE - PRESIDENTE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VEREADORA  LÚCIA MARIA TENÓRIO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MEMBRO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pgSz w:h="16838" w:w="11906" w:orient="portrait"/>
      <w:pgMar w:bottom="1985" w:top="2268" w:left="1418" w:right="132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alibri"/>
  <w:font w:name="Gadug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 Dr. José Alves, 129 - Centro - Fone: (019) 3814.1200 - Fax: (019) 3814.1206 – Mogi Mirim - SP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1038225" cy="752475"/>
          <wp:effectExtent b="0" l="0" r="0" t="0"/>
          <wp:docPr descr="brasaomm" id="1" name="image1.jpg"/>
          <a:graphic>
            <a:graphicData uri="http://schemas.openxmlformats.org/drawingml/2006/picture">
              <pic:pic>
                <pic:nvPicPr>
                  <pic:cNvPr descr="brasaomm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  <w:rtl w:val="0"/>
      </w:rPr>
      <w:t xml:space="preserve">CÂMARA MUNICIPAL DE MOGI MIRIM</w:t>
    </w:r>
  </w:p>
  <w:p w:rsidR="00000000" w:rsidDel="00000000" w:rsidP="00000000" w:rsidRDefault="00000000" w:rsidRPr="00000000" w14:paraId="000000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7513"/>
        <w:tab w:val="right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Estado de São Paulo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1038225" cy="752475"/>
          <wp:effectExtent b="0" l="0" r="0" t="0"/>
          <wp:docPr descr="brasaomm" id="2" name="image1.jpg"/>
          <a:graphic>
            <a:graphicData uri="http://schemas.openxmlformats.org/drawingml/2006/picture">
              <pic:pic>
                <pic:nvPicPr>
                  <pic:cNvPr descr="brasaomm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  <w:rtl w:val="0"/>
      </w:rPr>
      <w:t xml:space="preserve">CÂMARA MUNICIPAL DE MOGI MIRIM</w:t>
    </w:r>
  </w:p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7513"/>
        <w:tab w:val="right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Estado de São Paulo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