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Relatório</w:t>
      </w:r>
    </w:p>
    <w:p>
      <w:pPr>
        <w:spacing w:before="0" w:after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n.º </w:t>
      </w:r>
      <w:r>
        <w:rPr>
          <w:rFonts w:ascii="Arial" w:hAnsi="Arial" w:cs="Arial"/>
          <w:b/>
          <w:bCs/>
          <w:color w:val="000000"/>
          <w:sz w:val="24"/>
          <w:szCs w:val="24"/>
        </w:rPr>
        <w:t>76</w:t>
      </w:r>
      <w:r>
        <w:rPr>
          <w:rFonts w:ascii="Arial" w:hAnsi="Arial" w:cs="Arial"/>
          <w:b/>
          <w:bCs/>
          <w:color w:val="000000"/>
          <w:sz w:val="24"/>
          <w:szCs w:val="24"/>
        </w:rPr>
        <w:t>/ 2022</w:t>
      </w:r>
    </w:p>
    <w:p>
      <w:pPr>
        <w:spacing w:before="0" w:after="238"/>
        <w:contextualSpacing/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nº </w:t>
      </w:r>
      <w:r>
        <w:rPr>
          <w:rFonts w:ascii="Arial" w:hAnsi="Arial" w:cs="Arial"/>
          <w:b/>
          <w:bCs/>
          <w:color w:val="000000"/>
          <w:sz w:val="24"/>
          <w:szCs w:val="24"/>
        </w:rPr>
        <w:t>110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/2022</w:t>
      </w: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 </w:t>
      </w:r>
      <w:r>
        <w:rPr>
          <w:rFonts w:ascii="Calibri" w:hAnsi="Calibri" w:cs="Calibri"/>
          <w:color w:val="000000"/>
          <w:sz w:val="26"/>
          <w:szCs w:val="26"/>
        </w:rPr>
        <w:tab/>
        <w:t xml:space="preserve"> </w:t>
        <w:tab/>
      </w: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  <w:tab/>
        <w:t>Conforme determina o artigo 35 da Resolução 276 de 09 de novembro de 2010 – Regimento Interno da Câmara Municipal, a Comissão Permanente de Justiça e Redação, emite o presente Relatório acerca do Projeto de Lei n.º 04/2022, de autoria da Exm</w:t>
      </w:r>
      <w:r>
        <w:rPr>
          <w:rFonts w:ascii="Calibri" w:hAnsi="Calibri" w:cs="Calibri"/>
          <w:color w:val="000000"/>
          <w:sz w:val="26"/>
          <w:szCs w:val="26"/>
        </w:rPr>
        <w:t xml:space="preserve">o. Sr. </w:t>
      </w:r>
      <w:r>
        <w:rPr>
          <w:rFonts w:ascii="Calibri" w:hAnsi="Calibri" w:cs="Calibri"/>
          <w:color w:val="000000"/>
          <w:sz w:val="26"/>
          <w:szCs w:val="26"/>
        </w:rPr>
        <w:t>Prefeito Dr. Paulo de Oliveira e Silva.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I. Exposição da Matéria</w:t>
      </w:r>
    </w:p>
    <w:p>
      <w:pPr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 </w:t>
      </w:r>
      <w:r>
        <w:rPr>
          <w:rFonts w:ascii="Calibri" w:hAnsi="Calibri" w:cs="Calibri"/>
          <w:color w:val="000000"/>
          <w:sz w:val="26"/>
          <w:szCs w:val="26"/>
        </w:rPr>
        <w:tab/>
        <w:t xml:space="preserve">O Excelentíssimo Senhor Prefeito Dr. Paulo de Oliveira e Silva encaminha a esta Casa de Leis o Projeto de Lei nº </w:t>
      </w:r>
      <w:r>
        <w:rPr>
          <w:rFonts w:ascii="Calibri" w:hAnsi="Calibri" w:cs="Calibri"/>
          <w:color w:val="000000"/>
          <w:sz w:val="26"/>
          <w:szCs w:val="26"/>
        </w:rPr>
        <w:t>76</w:t>
      </w:r>
      <w:r>
        <w:rPr>
          <w:rFonts w:ascii="Calibri" w:hAnsi="Calibri" w:cs="Calibri"/>
          <w:color w:val="000000"/>
          <w:sz w:val="26"/>
          <w:szCs w:val="26"/>
        </w:rPr>
        <w:t>/2.022, que “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ALTERA A DESCRIÇÃO DAS ÁREAS A SER DESMEMBRADAS, PERMUTADAS E DOADAS, CONSTANTES NA LEI MUNICIPAL Nº 1.635, DE 29 DE DEZEMBRO DE 1.986, QUE AUTORIZA O PODER EXECUTIVO A ALIENAR POR PERMUTA ÁREA DE TERRENO DE PROPRIEDADE DO MUNICÍPIO COM IMÓVEIS DE PROPRIEDADE DO ESPÓLIO DE FRANZ DE CARVALHO E S/M, E DETERMINA OUTRAS PROVIDÊNCIAS”</w:t>
      </w: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</w:p>
    <w:p>
      <w:pPr>
        <w:ind w:firstLine="709"/>
        <w:jc w:val="both"/>
      </w:pPr>
      <w:r>
        <w:rPr>
          <w:rFonts w:ascii="Calibri" w:hAnsi="Calibri" w:cs="Calibri"/>
          <w:b w:val="0"/>
          <w:bCs w:val="0"/>
          <w:color w:val="000000"/>
          <w:sz w:val="26"/>
          <w:szCs w:val="26"/>
        </w:rPr>
        <w:t> </w:t>
      </w:r>
      <w:r>
        <w:rPr>
          <w:rFonts w:ascii="Calibri" w:hAnsi="Calibri" w:cs="Calibri"/>
          <w:b w:val="0"/>
          <w:bCs w:val="0"/>
          <w:color w:val="000000"/>
          <w:sz w:val="26"/>
          <w:szCs w:val="26"/>
        </w:rPr>
        <w:tab/>
        <w:t xml:space="preserve">A propositura busca a autorização legislativa para </w:t>
      </w:r>
      <w:r>
        <w:rPr>
          <w:rFonts w:ascii="Calibri" w:hAnsi="Calibri" w:cs="Calibri"/>
          <w:b w:val="0"/>
          <w:bCs w:val="0"/>
          <w:color w:val="000000"/>
          <w:sz w:val="26"/>
          <w:szCs w:val="26"/>
        </w:rPr>
        <w:t>alterar a Lei Municipal nº 1.635 de 29 de dezembro de 1.986, que autoriza o Poder Executivo a alienar por permuta área de terreno de propriedade do município, com imóveis de propriedade de Franz de Carvalho.</w:t>
      </w:r>
    </w:p>
    <w:p>
      <w:pPr>
        <w:ind w:firstLine="709"/>
        <w:jc w:val="both"/>
        <w:rPr>
          <w:rFonts w:ascii="Calibri" w:hAnsi="Calibri" w:cs="Calibri"/>
          <w:b w:val="0"/>
          <w:bCs w:val="0"/>
          <w:color w:val="000000"/>
          <w:sz w:val="26"/>
          <w:szCs w:val="26"/>
        </w:rPr>
      </w:pP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II. Do mérito e conclusões do relator</w:t>
      </w:r>
      <w:r>
        <w:rPr>
          <w:rFonts w:ascii="Calibri" w:hAnsi="Calibri" w:cs="Calibri"/>
          <w:color w:val="000000"/>
          <w:sz w:val="26"/>
          <w:szCs w:val="26"/>
        </w:rPr>
        <w:t> </w:t>
      </w:r>
    </w:p>
    <w:p>
      <w:pPr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   </w:t>
      </w:r>
      <w:r>
        <w:rPr>
          <w:rFonts w:ascii="Calibri" w:hAnsi="Calibri" w:cs="Calibri"/>
          <w:color w:val="000000"/>
          <w:sz w:val="26"/>
          <w:szCs w:val="26"/>
        </w:rPr>
        <w:tab/>
        <w:t>Inicialmente, verifica-se que o projeto se encontra dentro da competência legislativa do Município, conforme determina o artigo 30, inciso I da Constituição Federal, uma vez que se trata de assunto de interesse local.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 </w:t>
      </w:r>
      <w:r>
        <w:rPr>
          <w:rFonts w:ascii="Calibri" w:hAnsi="Calibri" w:cs="Calibri"/>
          <w:color w:val="000000"/>
          <w:sz w:val="26"/>
          <w:szCs w:val="26"/>
        </w:rPr>
        <w:tab/>
        <w:tab/>
        <w:t xml:space="preserve">Por sua vez, </w:t>
      </w:r>
      <w:r>
        <w:rPr>
          <w:rFonts w:ascii="Calibri" w:hAnsi="Calibri" w:cs="Calibri"/>
          <w:color w:val="000000"/>
          <w:sz w:val="26"/>
          <w:szCs w:val="26"/>
        </w:rPr>
        <w:t>em observância à Lei Orgânica Municipal - LOMM, cabe ao Prefeito a administração dos bens municipais (art. 111).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  <w:tab/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O referido projeto busca a autorização legislativ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a para alterar a Lei Municipal nº 1.635 de 29 de dezembro de 1.986, que autorizou o Poder Executivo a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desafetar, desmembrar e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 permutar área de terreno de propriedade do Município de Mogi Mirim com imóveis de propriedade de espólio de Franz de Carvalho e S/M.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Tal alteração é necessária para concretizar a referida permuta.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ab/>
        <w:tab/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 lei aprovada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autorizou que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o município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pudesse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desafetasse áreas enquadradas como “Área de Recreação” localizadas no interior do loteamento aprovado e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permutar imóvel de propriedade de Franz de Cavalho, no intuito de impl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ementar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 no local, equipamentos públicos para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atendimento aos moradores d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o bairro em localização central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e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para facilitar o acesso de todos.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ab/>
        <w:tab/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 xml:space="preserve">O imóvel do Sr. Franz se encontrava contígua à outra área de recreação da Prefeitura e no intuito de aglutinar as áreas com maior proximidade, optou-se, em consenso com os proprietários por permutar estas áreas. Isto é, a área do Sr. Franz (contígua a outra área já da prefeitura) passaria a pertencer aos bens do município, e, as áreas de recreação da Prefeitura,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>passariam a pertencer à família do Sr. Franz.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</w:rPr>
        <w:tab/>
        <w:tab/>
        <w:t xml:space="preserve">Ocorre que, tal transação não foi concretizada formalmente, pois a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Prefeitura não detinha a titularidade da área, tão pouco 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 xml:space="preserve"> respectiva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 xml:space="preserve"> matrícula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 xml:space="preserve">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d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 xml:space="preserve"> área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 xml:space="preserve"> a ser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em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 xml:space="preserve"> permutada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 xml:space="preserve">. Como consequência, não foi possível finalizar os devidos registros de domínio.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D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>ecorrido praticamente 30 anos após a sanção da lei, os representantes do Sr. Franz de Carvalho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 xml:space="preserve"> ainda não possuem a titularidade dos imóveis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>.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ab/>
        <w:tab/>
        <w:t xml:space="preserve">Recentemente a Prefeitura conseguiu regularizar as áreas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 xml:space="preserve">e obteve as matrículas emitidas pelo Cartório de Registro de imóveis. Entretanto, após regularização dos imóveis, verificou-se que as medidas, confrontações e divisas dos imóveis dispostas na Lei anterior,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single"/>
        </w:rPr>
        <w:t>apresentam discordância com os descritos nas matrículas, por isso, surge a necessidade, conforme devolução do Cartório (se encontram acostados no presente processo) de alteração da lei original.</w:t>
      </w:r>
    </w:p>
    <w:p>
      <w:pPr>
        <w:spacing w:before="240" w:after="240"/>
        <w:jc w:val="both"/>
      </w:pPr>
      <w:r>
        <w:rPr>
          <w:u w:val="none"/>
        </w:rPr>
        <w:tab/>
        <w:tab/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>Válido mencionar, que atualmente o imóvel que foi transferido para municipalidade, abriga as instalações do complexo esportivo da associação de moradores do bairro – ACOJAMBA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 xml:space="preserve">, </w:t>
      </w:r>
      <w:r>
        <w:rPr>
          <w:rFonts w:ascii="Calibri" w:eastAsia="Calibri" w:hAnsi="Calibri" w:cs="Arial"/>
          <w:b w:val="0"/>
          <w:bCs w:val="0"/>
          <w:color w:val="000000"/>
          <w:sz w:val="26"/>
          <w:szCs w:val="26"/>
          <w:u w:val="none"/>
        </w:rPr>
        <w:t>sendo composto por um campo de futebol, uma quadra poliesportiva e um playground, que estão a disposição dos moradores do bairro.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  <w:tab/>
        <w:t xml:space="preserve">Diante de todo exposto, considerando a legalidade do projeto, assim como </w:t>
      </w:r>
      <w:r>
        <w:rPr>
          <w:rFonts w:ascii="Calibri" w:hAnsi="Calibri" w:cs="Calibri"/>
          <w:color w:val="000000"/>
          <w:sz w:val="26"/>
          <w:szCs w:val="26"/>
        </w:rPr>
        <w:t xml:space="preserve">a necessidade de concretização da transação prevista na Lei Municipal nº 1.635/86, </w:t>
      </w:r>
      <w:r>
        <w:rPr>
          <w:rFonts w:ascii="Calibri" w:hAnsi="Calibri" w:cs="Calibri"/>
          <w:color w:val="000000"/>
          <w:sz w:val="26"/>
          <w:szCs w:val="26"/>
        </w:rPr>
        <w:t xml:space="preserve"> não se verifica óbices para continuidade da proposta, posto não haver vícios materiais ou de iniciativa ou ainda ilegalidade junto ao Projeto de Lei.</w:t>
      </w: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III. Substitutivos, Emendas ou subemendas ao Projeto</w:t>
      </w: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 </w:t>
      </w:r>
      <w:r>
        <w:rPr>
          <w:rFonts w:ascii="Calibri" w:hAnsi="Calibri" w:cs="Calibri"/>
          <w:color w:val="000000"/>
          <w:sz w:val="26"/>
          <w:szCs w:val="26"/>
        </w:rPr>
        <w:tab/>
      </w: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  <w:tab/>
      </w:r>
      <w:r>
        <w:rPr>
          <w:rFonts w:ascii="Calibri" w:hAnsi="Calibri" w:cs="Calibri"/>
          <w:color w:val="000000"/>
          <w:sz w:val="26"/>
          <w:szCs w:val="26"/>
        </w:rPr>
        <w:t>Em avaliação à redação do Projeto de Lei, foram encontrados alguns erros gramaticais, que entendemos que devem ser corrigidos, mas que não alteram a substância da matéria a ser apreciada.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  <w:tab/>
        <w:t xml:space="preserve">Sugerimos acrescer o acento devido à palavra ESPÓLIO </w:t>
      </w:r>
      <w:r>
        <w:rPr>
          <w:rFonts w:ascii="Calibri" w:hAnsi="Calibri" w:cs="Calibri"/>
          <w:color w:val="000000"/>
          <w:sz w:val="26"/>
          <w:szCs w:val="26"/>
        </w:rPr>
        <w:t>escrito na ementa do projeto</w:t>
      </w:r>
      <w:r>
        <w:rPr>
          <w:rFonts w:ascii="Calibri" w:hAnsi="Calibri" w:cs="Calibri"/>
          <w:color w:val="000000"/>
          <w:sz w:val="26"/>
          <w:szCs w:val="26"/>
        </w:rPr>
        <w:t>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  <w:tab/>
      </w: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  <w:tab/>
      </w:r>
      <w:r>
        <w:rPr>
          <w:rFonts w:ascii="Calibri" w:hAnsi="Calibri" w:cs="Calibri"/>
          <w:color w:val="000000"/>
          <w:sz w:val="26"/>
          <w:szCs w:val="26"/>
        </w:rPr>
        <w:t>C</w:t>
      </w:r>
      <w:r>
        <w:rPr>
          <w:rFonts w:ascii="Calibri" w:hAnsi="Calibri" w:cs="Calibri"/>
          <w:color w:val="000000"/>
          <w:sz w:val="26"/>
          <w:szCs w:val="26"/>
        </w:rPr>
        <w:t xml:space="preserve">orrigir no art. 7º a expressão “Esta Lei entra em vigor na data de sua publicação” </w:t>
      </w:r>
      <w:r>
        <w:rPr>
          <w:rFonts w:ascii="Calibri" w:hAnsi="Calibri" w:cs="Calibri"/>
          <w:color w:val="000000"/>
          <w:sz w:val="26"/>
          <w:szCs w:val="26"/>
        </w:rPr>
        <w:t>que se encontra com erro de grafia</w:t>
      </w:r>
      <w:r>
        <w:rPr>
          <w:rFonts w:ascii="Calibri" w:hAnsi="Calibri" w:cs="Calibri"/>
          <w:color w:val="000000"/>
          <w:sz w:val="26"/>
          <w:szCs w:val="26"/>
        </w:rPr>
        <w:t>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IV. Decisão da Relatora</w:t>
      </w:r>
    </w:p>
    <w:p>
      <w:pPr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ab/>
        <w:t>Esta Relatoria considera que a presente propositura não apresenta vícios de constitucionalidade, recebendo parecer FAVORÁVEL</w:t>
      </w:r>
      <w:r>
        <w:rPr>
          <w:rFonts w:ascii="Calibri" w:hAnsi="Calibri" w:cs="Calibri"/>
          <w:color w:val="000000"/>
          <w:sz w:val="26"/>
          <w:szCs w:val="26"/>
        </w:rPr>
        <w:t>.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Sala das Comissões, em 0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9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de junho de 2.022.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COMISSÃO DE JUSTIÇA E REDAÇÃO</w:t>
      </w:r>
    </w:p>
    <w:p>
      <w:pPr>
        <w:spacing w:before="0" w:after="240"/>
        <w:rPr>
          <w:sz w:val="24"/>
          <w:szCs w:val="24"/>
        </w:rPr>
      </w:pPr>
    </w:p>
    <w:p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p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Vereadora Mara Cristina Choquetta</w:t>
      </w:r>
    </w:p>
    <w:p>
      <w:pPr>
        <w:jc w:val="center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Vice-Presidente /Relatora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spacing w:before="0" w:after="24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>P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ARECER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FAVORÁVEL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N.º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10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/2022 DA COMISSÃO DE JUSTIÇA E REDAÇÃO</w:t>
      </w:r>
    </w:p>
    <w:p>
      <w:pPr>
        <w:jc w:val="both"/>
        <w:rPr>
          <w:rFonts w:ascii="Calibri" w:hAnsi="Calibri"/>
        </w:rPr>
      </w:pPr>
      <w:r>
        <w:rPr>
          <w:rFonts w:ascii="Calibri" w:hAnsi="Calibri" w:cs="Arial"/>
          <w:color w:val="000000"/>
          <w:sz w:val="24"/>
          <w:szCs w:val="24"/>
        </w:rPr>
        <w:t>Seguindo o Voto exarado pela Relatora e conforme determina o artigo 35 da Resolução n.º 276 de 09 de novembro de 2.010, a Comiss</w:t>
      </w:r>
      <w:r>
        <w:rPr>
          <w:rFonts w:ascii="Calibri" w:hAnsi="Calibri" w:cs="Arial"/>
          <w:color w:val="000000"/>
          <w:sz w:val="24"/>
          <w:szCs w:val="24"/>
        </w:rPr>
        <w:t xml:space="preserve">ão </w:t>
      </w:r>
      <w:r>
        <w:rPr>
          <w:rFonts w:ascii="Calibri" w:hAnsi="Calibri" w:cs="Arial"/>
          <w:color w:val="000000"/>
          <w:sz w:val="24"/>
          <w:szCs w:val="24"/>
        </w:rPr>
        <w:t>de Justiça e Redação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color w:val="000000"/>
          <w:sz w:val="24"/>
          <w:szCs w:val="24"/>
        </w:rPr>
        <w:t xml:space="preserve">formaliza o presente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PARECER FAVORÁVEL</w:t>
      </w:r>
      <w:r>
        <w:rPr>
          <w:rFonts w:ascii="Calibri" w:hAnsi="Calibri" w:cs="Arial"/>
          <w:color w:val="000000"/>
          <w:sz w:val="24"/>
          <w:szCs w:val="24"/>
        </w:rPr>
        <w:t>.</w:t>
      </w:r>
    </w:p>
    <w:p>
      <w:pPr>
        <w:jc w:val="both"/>
        <w:rPr>
          <w:rFonts w:ascii="Calibri" w:hAnsi="Calibri"/>
          <w:sz w:val="24"/>
          <w:szCs w:val="24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Sala das Comissões, em 0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9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de junho de 2.022.</w:t>
      </w:r>
    </w:p>
    <w:p>
      <w:pPr>
        <w:spacing w:before="0" w:after="240"/>
        <w:rPr>
          <w:rFonts w:ascii="Calibri" w:hAnsi="Calibri"/>
          <w:b/>
          <w:bCs/>
          <w:sz w:val="24"/>
          <w:szCs w:val="24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spacing w:before="0" w:after="240"/>
        <w:rPr>
          <w:rFonts w:ascii="Calibri" w:hAnsi="Calibri"/>
          <w:sz w:val="24"/>
          <w:szCs w:val="24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rFonts w:ascii="Calibri" w:hAnsi="Calibri"/>
          <w:sz w:val="24"/>
          <w:szCs w:val="24"/>
        </w:rPr>
      </w:pPr>
    </w:p>
    <w:p>
      <w:pPr>
        <w:spacing w:before="0" w:after="240"/>
        <w:rPr>
          <w:rFonts w:ascii="Calibri" w:hAnsi="Calibri"/>
          <w:sz w:val="24"/>
          <w:szCs w:val="24"/>
        </w:rPr>
      </w:pPr>
    </w:p>
    <w:p>
      <w:pPr>
        <w:spacing w:before="0" w:after="240"/>
        <w:rPr>
          <w:rFonts w:ascii="Calibri" w:hAnsi="Calibri"/>
          <w:sz w:val="24"/>
          <w:szCs w:val="24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 – presidente/relatora</w:t>
      </w:r>
    </w:p>
    <w:p>
      <w:pPr>
        <w:spacing w:before="0" w:after="240"/>
        <w:rPr>
          <w:rFonts w:ascii="Calibri" w:hAnsi="Calibri"/>
          <w:sz w:val="24"/>
          <w:szCs w:val="24"/>
        </w:rPr>
      </w:pPr>
    </w:p>
    <w:p>
      <w:pPr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 DRA. LÚCIA MARIA FERREIRA TENÓRIO</w:t>
      </w:r>
    </w:p>
    <w:p>
      <w:pPr>
        <w:jc w:val="center"/>
        <w:rPr>
          <w:rFonts w:ascii="Calibri" w:hAnsi="Calibri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 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>
      <w:rPr>
        <w:rFonts w:ascii="Bookman Old Style" w:hAnsi="Bookman Old Style"/>
        <w:b/>
        <w:sz w:val="18"/>
      </w:rPr>
      <w:t>4</w:t>
    </w:r>
    <w:r>
      <w:rPr>
        <w:rFonts w:ascii="Bookman Old Style" w:hAnsi="Bookman Old Style"/>
        <w:b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9459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01365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suppressAutoHyphens/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10323</TotalTime>
  <Pages>4</Pages>
  <Words>854</Words>
  <Characters>4551</Characters>
  <Application>Microsoft Office Word</Application>
  <DocSecurity>0</DocSecurity>
  <Lines>0</Lines>
  <Paragraphs>49</Paragraphs>
  <ScaleCrop>false</ScaleCrop>
  <Company>Camara Municipal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2022-06-09T15:15:17Z</cp:lastPrinted>
  <dcterms:created xsi:type="dcterms:W3CDTF">2022-02-17T15:51:00Z</dcterms:created>
  <dcterms:modified xsi:type="dcterms:W3CDTF">2022-06-13T15:00:33Z</dcterms:modified>
  <dc:language>pt-BR</dc:language>
</cp:coreProperties>
</file>