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Projeto de Lei n.º 50 de 2022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Processo n° 75 de 2022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 Exposição da Matéria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Trata-se de Projeto de Lei apresentado pela Nobre Vereadora Joelma Franco da Cunha, que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"Dispõe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sobre a instalação de Câmeras de Monitoramento de Segurança nas Creches e Escolas Públicas Municipais".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tab/>
        <w:t xml:space="preserve">O Projeto de Lei 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pígrafe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visa garantir a instalação de Câmeras de monitoramento de segurança nas creches e escolas da Rede Pública do Município, com a finalidade de aumentar a segurança para crianças, adolescentes e servidores que frequentam a rede municipal de ensino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II. Do mérito e conclusões do relator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Inicialmente,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cumpre destacar que a Comissão requereu à SPG - Soluções em Gestão Pública - análise jurídica sobre a matéria em estudo, originando a CONSULTA/0162/2022/MN/G anexada ao processo do Projeto de Lei.  A referida consulta não aponta vícios de constitucionalidade que possam impedir a tramitação da propositura em análise.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dispõe sobre uma política de segurança pública, tema tratado na Constituição Federal, em seu artigo 144 e, respectivamente na Constituição Estadual, artigo 139, como 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dever do Estado, direito e responsabilidade de todos”,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além de ser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“exercida para a preservação da ordem pública e da incolumidade das pessoas e do patrimônio” 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Sendo assim, entendemos ser competência comum entre todos os entes federados a promoção de ações voltadas à segurança pública.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mesmo modo, o artigo 30 da Constituição Federal dispõe sobre a competência do Município em legislar sobre assuntos de interesse local, bem como o poder de exercitar plenamente a competência legislativa de suplementar as legislações estadual e federal, naquilo que for cabível.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relação à iniciativa do projeto, entendemos ser concorrente, conforme a decisão do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Tema n° 917 do Supremo Tribunal Federal. Esta decisão afirmou que:</w:t>
      </w:r>
      <w:r w:rsidDel="00000000" w:rsidR="00000000" w:rsidRPr="00000000">
        <w:rPr>
          <w:rFonts w:ascii="Georgia" w:cs="Georgia" w:eastAsia="Georgia" w:hAnsi="Georgia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“Não usurpa competência privativa do Chefe do Poder Executivo lei que, embora crie despesa para a Administração, não trata da sua estrutura ou da atribuição de seus órgãos nem do regime jurídico de servidores públicos (art. </w:t>
      </w:r>
      <w:hyperlink r:id="rId6">
        <w:r w:rsidDel="00000000" w:rsidR="00000000" w:rsidRPr="00000000">
          <w:rPr>
            <w:rFonts w:ascii="Arial" w:cs="Arial" w:eastAsia="Arial" w:hAnsi="Arial"/>
            <w:i w:val="1"/>
            <w:sz w:val="24"/>
            <w:szCs w:val="24"/>
            <w:rtl w:val="0"/>
          </w:rPr>
          <w:t xml:space="preserve">61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rFonts w:ascii="Arial" w:cs="Arial" w:eastAsia="Arial" w:hAnsi="Arial"/>
            <w:i w:val="1"/>
            <w:sz w:val="24"/>
            <w:szCs w:val="24"/>
            <w:rtl w:val="0"/>
          </w:rPr>
          <w:t xml:space="preserve">§ 1º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i w:val="1"/>
            <w:sz w:val="24"/>
            <w:szCs w:val="24"/>
            <w:rtl w:val="0"/>
          </w:rPr>
          <w:t xml:space="preserve">II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,</w:t>
      </w:r>
      <w:hyperlink r:id="rId9">
        <w:r w:rsidDel="00000000" w:rsidR="00000000" w:rsidRPr="00000000">
          <w:rPr>
            <w:rFonts w:ascii="Arial" w:cs="Arial" w:eastAsia="Arial" w:hAnsi="Arial"/>
            <w:i w:val="1"/>
            <w:sz w:val="24"/>
            <w:szCs w:val="24"/>
            <w:rtl w:val="0"/>
          </w:rPr>
          <w:t xml:space="preserve">a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, </w:t>
      </w:r>
      <w:hyperlink r:id="rId10">
        <w:r w:rsidDel="00000000" w:rsidR="00000000" w:rsidRPr="00000000">
          <w:rPr>
            <w:rFonts w:ascii="Arial" w:cs="Arial" w:eastAsia="Arial" w:hAnsi="Arial"/>
            <w:i w:val="1"/>
            <w:sz w:val="24"/>
            <w:szCs w:val="24"/>
            <w:rtl w:val="0"/>
          </w:rPr>
          <w:t xml:space="preserve">c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 e, da </w:t>
      </w:r>
      <w:hyperlink r:id="rId11">
        <w:r w:rsidDel="00000000" w:rsidR="00000000" w:rsidRPr="00000000">
          <w:rPr>
            <w:rFonts w:ascii="Arial" w:cs="Arial" w:eastAsia="Arial" w:hAnsi="Arial"/>
            <w:i w:val="1"/>
            <w:sz w:val="24"/>
            <w:szCs w:val="24"/>
            <w:rtl w:val="0"/>
          </w:rPr>
          <w:t xml:space="preserve">Constituição Federal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)”.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amparados pelo parecer técnico-jurídico da SGP e em comum acordo de seus membros, esta Comissão entende não haver irregularidades no âmbito jurídico ou gramatical na propositura ora analisada que impeçam a sua regular tramitação nesta Casa de Leis.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 Decisão do Relator.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VEREADOR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Presidente 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N.º  ______/2022 DA COMISSÃO DE JUSTIÇA E REDAÇÃO  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PROJETO DE LEI </w:t>
      </w:r>
      <w:r w:rsidDel="00000000" w:rsidR="00000000" w:rsidRPr="00000000">
        <w:rPr>
          <w:rFonts w:ascii="Gadugi" w:cs="Gadugi" w:eastAsia="Gadugi" w:hAnsi="Gadugi"/>
          <w:b w:val="1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Seguindo o Voto exarado pela Relatora e conforme determina o artigo 35, a Comissão de Justiça e Redação formaliza o presente </w:t>
      </w: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FAVORÁVEL</w:t>
      </w: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Sala das Comissões, em 13 de Maio de 2022.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PRESIDENTE</w:t>
      </w:r>
      <w:r w:rsidDel="00000000" w:rsidR="00000000" w:rsidRPr="00000000">
        <w:rPr>
          <w:rFonts w:ascii="Gadugi" w:cs="Gadugi" w:eastAsia="Gadugi" w:hAnsi="Gadugi"/>
          <w:b w:val="1"/>
          <w:sz w:val="24"/>
          <w:szCs w:val="24"/>
          <w:highlight w:val="white"/>
          <w:rtl w:val="0"/>
        </w:rPr>
        <w:t xml:space="preserve"> / 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VEREADORA MARA CRISTINA CHOQUETTA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VICE - PRESIDENTE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VEREADORA  LÚCIA MARIA TENÓRIO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pgSz w:h="16838" w:w="11906" w:orient="portrait"/>
      <w:pgMar w:bottom="198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Gadug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513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2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513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10" Type="http://schemas.openxmlformats.org/officeDocument/2006/relationships/hyperlink" Target="http://www.jusbrasil.com.br/topicos/10699917/alinea-c-do-inciso-ii-do-par%C3%A1grafo-1-do-artigo-61-da-constitui%C3%A7%C3%A3o-federal-de-1988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usbrasil.com.br/topicos/10699818/alinea-a-do-inciso-ii-do-par%C3%A1grafo-1-do-artigo-61-da-constitui%C3%A7%C3%A3o-federal-de-1988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jusbrasil.com.br/topicos/10631826/artigo-61-da-constitui%C3%A7%C3%A3o-federal-de-1988" TargetMode="External"/><Relationship Id="rId7" Type="http://schemas.openxmlformats.org/officeDocument/2006/relationships/hyperlink" Target="http://www.jusbrasil.com.br/topicos/10700134/par%C3%A1grafo-1-artigo-61-da-constitui%C3%A7%C3%A3o-federal-de-1988" TargetMode="External"/><Relationship Id="rId8" Type="http://schemas.openxmlformats.org/officeDocument/2006/relationships/hyperlink" Target="http://www.jusbrasil.com.br/topicos/10700070/inciso-ii-do-par%C3%A1grafo-1-do-artigo-61-da-constitui%C3%A7%C3%A3o-federal-de-198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