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widowControl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uppressAutoHyphens/>
        <w:bidi w:val="0"/>
        <w:spacing w:before="0" w:after="200" w:line="360" w:lineRule="auto"/>
        <w:ind w:left="-794" w:right="-907" w:firstLine="0"/>
        <w:jc w:val="both"/>
      </w:pPr>
      <w:r>
        <w:rPr>
          <w:rFonts w:cs="Calibri"/>
          <w:b/>
          <w:sz w:val="24"/>
          <w:szCs w:val="24"/>
        </w:rPr>
        <w:t>ASSUNTO:</w:t>
      </w:r>
      <w:r>
        <w:rPr>
          <w:rFonts w:cs="Calibri"/>
          <w:sz w:val="24"/>
          <w:szCs w:val="24"/>
        </w:rPr>
        <w:t xml:space="preserve"> Requer ao Exmo. Sr. Prefeito Municipal, Dr. Paulo de Oliveira e Silva, através da secretaria competente, informações sobre a contratação de jogo com a equipe de futebol do time Máster do Corinthians, no valor de R$48.000,00, por meio de procedimento de inexigibilidade de licitação.</w:t>
      </w:r>
    </w:p>
    <w:p>
      <w:pPr>
        <w:widowControl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uppressAutoHyphens/>
        <w:bidi w:val="0"/>
        <w:spacing w:before="0" w:after="200"/>
        <w:ind w:left="-794" w:right="-907" w:firstLine="0"/>
      </w:pPr>
      <w:r>
        <w:rPr>
          <w:rFonts w:cs="Calibri"/>
          <w:b/>
          <w:sz w:val="24"/>
          <w:szCs w:val="24"/>
        </w:rPr>
        <w:t>DESPACHO:</w:t>
      </w:r>
    </w:p>
    <w:p>
      <w:pPr>
        <w:widowControl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uppressAutoHyphens/>
        <w:bidi w:val="0"/>
        <w:spacing w:before="0" w:after="200"/>
        <w:ind w:left="-794" w:right="-907" w:firstLine="0"/>
        <w:rPr>
          <w:rFonts w:ascii="Arial" w:hAnsi="Arial" w:cs="Calibri"/>
          <w:b/>
          <w:sz w:val="24"/>
          <w:szCs w:val="24"/>
        </w:rPr>
      </w:pPr>
    </w:p>
    <w:p>
      <w:pPr>
        <w:widowControl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uppressAutoHyphens/>
        <w:bidi w:val="0"/>
        <w:spacing w:before="0" w:after="200"/>
        <w:ind w:left="-794" w:right="-907" w:firstLine="0"/>
      </w:pPr>
      <w:r>
        <w:rPr>
          <w:rFonts w:cs="Calibri"/>
          <w:b/>
          <w:sz w:val="24"/>
          <w:szCs w:val="24"/>
        </w:rPr>
        <w:t>SALA DAS SESSÕES____/____/_____</w:t>
      </w:r>
    </w:p>
    <w:p>
      <w:pPr>
        <w:widowControl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uppressAutoHyphens/>
        <w:bidi w:val="0"/>
        <w:spacing w:before="0" w:after="200"/>
        <w:ind w:left="-794" w:right="-907" w:firstLine="0"/>
        <w:rPr>
          <w:rFonts w:ascii="Arial" w:hAnsi="Arial"/>
          <w:sz w:val="24"/>
          <w:szCs w:val="24"/>
        </w:rPr>
      </w:pPr>
    </w:p>
    <w:p>
      <w:pPr>
        <w:widowControl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uppressAutoHyphens/>
        <w:bidi w:val="0"/>
        <w:spacing w:before="0" w:after="200"/>
        <w:ind w:left="-794" w:right="-907" w:firstLine="0"/>
        <w:rPr>
          <w:rFonts w:ascii="Arial" w:hAnsi="Arial"/>
          <w:sz w:val="24"/>
          <w:szCs w:val="24"/>
        </w:rPr>
      </w:pPr>
    </w:p>
    <w:p>
      <w:pPr>
        <w:widowControl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uppressAutoHyphens/>
        <w:bidi w:val="0"/>
        <w:spacing w:before="0" w:after="200"/>
        <w:ind w:left="-794" w:right="-907" w:firstLine="0"/>
      </w:pPr>
      <w:r>
        <w:rPr>
          <w:rFonts w:cs="Calibri"/>
          <w:b/>
          <w:sz w:val="24"/>
          <w:szCs w:val="24"/>
        </w:rPr>
        <w:t xml:space="preserve">                                                 </w:t>
      </w:r>
      <w:r>
        <w:rPr>
          <w:rFonts w:cs="Calibri"/>
          <w:b/>
          <w:sz w:val="24"/>
          <w:szCs w:val="24"/>
        </w:rPr>
        <w:t>PRESIDENTE DA MESA</w:t>
      </w:r>
    </w:p>
    <w:p>
      <w:pPr>
        <w:jc w:val="center"/>
        <w:rPr>
          <w:rFonts w:ascii="Arial" w:hAnsi="Arial"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REQUERIMENTO Nº </w:t>
      </w:r>
      <w:r>
        <w:rPr>
          <w:rFonts w:cs="Calibri"/>
          <w:b/>
          <w:sz w:val="24"/>
          <w:szCs w:val="24"/>
        </w:rPr>
        <w:t>273</w:t>
      </w:r>
      <w:r>
        <w:rPr>
          <w:rFonts w:cs="Calibri"/>
          <w:b/>
          <w:sz w:val="24"/>
          <w:szCs w:val="24"/>
        </w:rPr>
        <w:t xml:space="preserve"> DE 2022</w:t>
      </w:r>
    </w:p>
    <w:p>
      <w:pPr>
        <w:spacing w:line="220" w:lineRule="exact"/>
        <w:jc w:val="center"/>
        <w:rPr>
          <w:rFonts w:ascii="Arial" w:hAnsi="Arial" w:cs="Calibri"/>
          <w:sz w:val="24"/>
          <w:szCs w:val="24"/>
        </w:rPr>
      </w:pPr>
    </w:p>
    <w:p>
      <w:pPr>
        <w:spacing w:line="220" w:lineRule="exact"/>
        <w:jc w:val="center"/>
        <w:rPr>
          <w:rFonts w:ascii="Arial" w:hAnsi="Arial" w:cs="Calibri"/>
          <w:sz w:val="24"/>
          <w:szCs w:val="24"/>
        </w:rPr>
      </w:pP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line="220" w:lineRule="exact"/>
        <w:rPr>
          <w:rFonts w:ascii="Arial" w:hAnsi="Arial" w:cs="Calibri"/>
          <w:b/>
          <w:sz w:val="24"/>
          <w:szCs w:val="24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850" w:right="-567" w:firstLine="1134"/>
        <w:jc w:val="both"/>
      </w:pPr>
      <w:r>
        <w:rPr>
          <w:rFonts w:ascii="Arial" w:hAnsi="Arial"/>
          <w:sz w:val="24"/>
          <w:szCs w:val="24"/>
          <w:shd w:val="clear" w:color="auto" w:fill="FFFFFF"/>
        </w:rPr>
        <w:t xml:space="preserve">Sirvo-me do presente, rendendo prévias homenagens, nos termos dos §§ 1º e 2º do artigo 243 da Resolução 276/2010 (Regimento Interno), para requerer ao Excelentíssimo Senhor Prefeito, através das secretarias e departamentos competentes, 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>o que segue: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850" w:right="-567" w:firstLine="1134"/>
        <w:jc w:val="both"/>
        <w:rPr>
          <w:rFonts w:ascii="Arial" w:hAnsi="Arial"/>
          <w:b w:val="0"/>
          <w:bCs w:val="0"/>
          <w:sz w:val="24"/>
          <w:szCs w:val="24"/>
          <w:u w:val="singl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850" w:right="-567" w:firstLine="1134"/>
        <w:jc w:val="both"/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</w:pP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>Como se extrai da edição nº 645, do dia 27 de maio de 2022, do Jornal Oficial de Mogi Mirim, o município teria feito a contratação de jogo de futebol com a equipe do Time Máster do Corinthians, pelo valor de R$48.000,00, conforme publicação: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0"/>
        <w:jc w:val="both"/>
        <w:rPr>
          <w:rFonts w:ascii="Arial" w:hAnsi="Arial"/>
          <w:b w:val="0"/>
          <w:bCs w:val="0"/>
          <w:sz w:val="24"/>
          <w:szCs w:val="24"/>
          <w:u w:val="single"/>
          <w:shd w:val="clear" w:color="auto" w:fill="FFFFFF"/>
        </w:rPr>
      </w:pPr>
      <w:r>
        <w:rPr>
          <w:rFonts w:ascii="Arial" w:hAnsi="Arial"/>
          <w:b w:val="0"/>
          <w:bCs w:val="0"/>
          <w:sz w:val="24"/>
          <w:szCs w:val="24"/>
          <w:u w:val="single"/>
          <w:shd w:val="clear" w:color="auto" w:fill="FFFFFF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309245</wp:posOffset>
            </wp:positionH>
            <wp:positionV relativeFrom="paragraph">
              <wp:posOffset>76200</wp:posOffset>
            </wp:positionV>
            <wp:extent cx="5077460" cy="123761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612331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460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850" w:right="-567" w:firstLine="1191"/>
        <w:jc w:val="both"/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850" w:right="-567" w:firstLine="1191"/>
        <w:jc w:val="both"/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850" w:right="-567" w:firstLine="1191"/>
        <w:jc w:val="both"/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850" w:right="-567" w:firstLine="1191"/>
        <w:jc w:val="both"/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850" w:right="-567" w:firstLine="1191"/>
        <w:jc w:val="both"/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850" w:right="-567" w:firstLine="1191"/>
        <w:jc w:val="both"/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850" w:right="-567" w:firstLine="1191"/>
        <w:jc w:val="both"/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850" w:right="-567" w:firstLine="1191"/>
        <w:jc w:val="both"/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850" w:right="-567" w:firstLine="1191"/>
        <w:jc w:val="both"/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</w:pP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>A referida contratação também ganhou destaque na imprensa local, sendo abordada em matéria publicada pelo “Jornal A Comarca”, na edição 12.383 – Ano 122, do dia 11 de junho de 2022, nos seguintes termos: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1474" w:right="-1361" w:firstLine="0"/>
        <w:jc w:val="both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-519430</wp:posOffset>
            </wp:positionH>
            <wp:positionV relativeFrom="paragraph">
              <wp:posOffset>144145</wp:posOffset>
            </wp:positionV>
            <wp:extent cx="6449060" cy="4212590"/>
            <wp:effectExtent l="0" t="0" r="0" b="0"/>
            <wp:wrapSquare wrapText="largest"/>
            <wp:docPr id="2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253571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060" cy="421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 w:val="0"/>
          <w:bCs w:val="0"/>
          <w:sz w:val="20"/>
          <w:szCs w:val="20"/>
          <w:u w:val="none"/>
          <w:shd w:val="clear" w:color="auto" w:fill="FFFFFF"/>
        </w:rPr>
        <w:t xml:space="preserve">Matéria também disponível por meio do link:   </w:t>
      </w:r>
      <w:r>
        <w:rPr>
          <w:rStyle w:val="LinkdaInternet"/>
          <w:rFonts w:ascii="Arial" w:hAnsi="Arial"/>
          <w:b w:val="0"/>
          <w:bCs w:val="0"/>
          <w:sz w:val="20"/>
          <w:szCs w:val="20"/>
          <w:u w:val="none"/>
          <w:shd w:val="clear" w:color="auto" w:fill="FFFFFF"/>
        </w:rPr>
        <w:t>https://www.acomarca.com.br/2022/06/14/sejel-gasta-r-48-mil-com-contratacao-do-time-master-do-corinthians/mogi-mirim/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1134" w:right="-1020" w:firstLine="0"/>
        <w:jc w:val="both"/>
        <w:rPr>
          <w:rFonts w:ascii="Arial" w:hAnsi="Arial"/>
          <w:b w:val="0"/>
          <w:bCs w:val="0"/>
          <w:sz w:val="22"/>
          <w:szCs w:val="22"/>
          <w:u w:val="none"/>
          <w:shd w:val="clear" w:color="auto" w:fill="FFFFFF"/>
        </w:rPr>
      </w:pPr>
      <w:r>
        <w:rPr>
          <w:rFonts w:ascii="Arial" w:hAnsi="Arial"/>
          <w:b w:val="0"/>
          <w:bCs w:val="0"/>
          <w:sz w:val="22"/>
          <w:szCs w:val="22"/>
          <w:u w:val="none"/>
          <w:shd w:val="clear" w:color="auto" w:fill="FFFFFF"/>
        </w:rPr>
        <w:t xml:space="preserve">               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850" w:right="-567" w:firstLine="1191"/>
        <w:jc w:val="both"/>
        <w:rPr>
          <w:rFonts w:ascii="Arial" w:hAnsi="Arial"/>
          <w:b w:val="0"/>
          <w:bCs w:val="0"/>
          <w:sz w:val="22"/>
          <w:szCs w:val="22"/>
          <w:u w:val="none"/>
          <w:shd w:val="clear" w:color="auto" w:fill="FFFFFF"/>
        </w:rPr>
      </w:pP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Assim,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a matéria ressaltou o valor de R$48.000,00 para a referida contratação, que seria inclusive superior ao gasto com o custeio das taxas de arbitragem do Amador, incluindo as séries Ouro, Prata e Bronze, que conta com cerca de 146 partidas.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 Ainda </w:t>
      </w:r>
      <w:r>
        <w:rPr>
          <w:rFonts w:ascii="Arial" w:hAnsi="Arial"/>
          <w:b w:val="0"/>
          <w:bCs w:val="0"/>
          <w:sz w:val="24"/>
          <w:szCs w:val="24"/>
          <w:u w:val="single"/>
          <w:shd w:val="clear" w:color="auto" w:fill="FFFFFF"/>
        </w:rPr>
        <w:t>destacaram a existência de uma suposta “brecha contratual”,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 nos casos de impossibilidade de comparecimento, </w:t>
      </w:r>
      <w:r>
        <w:rPr>
          <w:rFonts w:ascii="Arial" w:hAnsi="Arial"/>
          <w:b w:val="0"/>
          <w:bCs w:val="0"/>
          <w:sz w:val="24"/>
          <w:szCs w:val="24"/>
          <w:u w:val="single"/>
          <w:shd w:val="clear" w:color="auto" w:fill="FFFFFF"/>
        </w:rPr>
        <w:t>que permitiria a substituição de “nomes de maior expressão popular” por outros “menos atrativos”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>, sob o argumento de terem a mesma qualidade técnica.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850" w:right="-567" w:firstLine="1191"/>
        <w:jc w:val="both"/>
        <w:rPr>
          <w:rFonts w:ascii="Arial" w:hAnsi="Arial"/>
          <w:sz w:val="24"/>
          <w:szCs w:val="24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794" w:right="-567" w:firstLine="1191"/>
        <w:jc w:val="both"/>
        <w:rPr>
          <w:rFonts w:ascii="Arial" w:hAnsi="Arial"/>
          <w:b w:val="0"/>
          <w:bCs w:val="0"/>
          <w:sz w:val="22"/>
          <w:szCs w:val="22"/>
          <w:u w:val="none"/>
          <w:shd w:val="clear" w:color="auto" w:fill="FFFFFF"/>
        </w:rPr>
      </w:pP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Ainda segundo o que consta na matéria jornalística,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no ano de 2019, o município teria contratado a seleção máster do Brasil pelo valor de R$27.000,00, chegando a informar que foi realizada cotação prévia de três orçamentos, sendo contratado o de menor valor.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 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794" w:right="-1020" w:firstLine="1191"/>
        <w:jc w:val="both"/>
        <w:rPr>
          <w:rFonts w:ascii="Arial" w:hAnsi="Arial"/>
          <w:b w:val="0"/>
          <w:bCs w:val="0"/>
          <w:sz w:val="24"/>
          <w:szCs w:val="24"/>
          <w:u w:val="singl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1134" w:right="-1020" w:firstLine="0"/>
        <w:jc w:val="both"/>
        <w:rPr>
          <w:rFonts w:ascii="Arial" w:hAnsi="Arial"/>
          <w:b w:val="0"/>
          <w:bCs w:val="0"/>
          <w:sz w:val="24"/>
          <w:szCs w:val="24"/>
          <w:u w:val="single"/>
          <w:shd w:val="clear" w:color="auto" w:fill="FFFFFF"/>
        </w:rPr>
      </w:pP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                           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Diante do exposto,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REQUER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>: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1134" w:right="-1020" w:firstLine="0"/>
        <w:jc w:val="both"/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567" w:right="-1020" w:firstLine="567"/>
        <w:jc w:val="both"/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</w:pP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i) Informar como se deu o processo de contratação de jogo de futebol com o Time Máster do Corinthians, contemplando a justificativa de preço e escolha do contratado, bem os critérios adotados pela administração pública municipal para efetivar a mesma. 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1134" w:right="-1020" w:firstLine="0"/>
        <w:jc w:val="both"/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</w:pPr>
    </w:p>
    <w:p>
      <w:pPr>
        <w:pStyle w:val="NormalWeb"/>
        <w:widowControl/>
        <w:shd w:val="clear" w:color="auto" w:fill="FFFFFF"/>
        <w:tabs>
          <w:tab w:val="left" w:pos="675"/>
          <w:tab w:val="clear" w:pos="708"/>
        </w:tabs>
        <w:suppressAutoHyphens/>
        <w:bidi w:val="0"/>
        <w:spacing w:before="0" w:beforeAutospacing="0" w:after="0" w:afterAutospacing="0" w:line="360" w:lineRule="auto"/>
        <w:ind w:left="-510" w:right="-1020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ii) Informar as justificativas e os fundamentos da administração pública para a não realização de procedimento licitatório (justificativas de inexigibilidade), mencionando, ainda assim, se realizaram cotações de outros orçamentos. Em caso positivo, encaminhar referidas cotações.</w:t>
      </w:r>
    </w:p>
    <w:p>
      <w:pPr>
        <w:pStyle w:val="NormalWeb"/>
        <w:widowControl/>
        <w:shd w:val="clear" w:color="auto" w:fill="FFFFFF"/>
        <w:tabs>
          <w:tab w:val="left" w:pos="675"/>
          <w:tab w:val="clear" w:pos="708"/>
        </w:tabs>
        <w:suppressAutoHyphens/>
        <w:bidi w:val="0"/>
        <w:spacing w:before="0" w:beforeAutospacing="0" w:after="0" w:afterAutospacing="0" w:line="360" w:lineRule="auto"/>
        <w:ind w:left="0" w:right="-1020" w:firstLine="62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tabs>
          <w:tab w:val="left" w:pos="675"/>
          <w:tab w:val="clear" w:pos="708"/>
        </w:tabs>
        <w:suppressAutoHyphens/>
        <w:bidi w:val="0"/>
        <w:spacing w:before="0" w:beforeAutospacing="0" w:after="0" w:afterAutospacing="0" w:line="360" w:lineRule="auto"/>
        <w:ind w:left="-510" w:right="-1020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iii) Informar se algum servidor público municipal de Mogi Mirim atua ou atuou na referida equipe Master do Corinthians. Em caso positivo, informar o nome completo e R.E do mesmo.</w:t>
      </w:r>
    </w:p>
    <w:p>
      <w:pPr>
        <w:pStyle w:val="NormalWeb"/>
        <w:widowControl/>
        <w:shd w:val="clear" w:color="auto" w:fill="FFFFFF"/>
        <w:tabs>
          <w:tab w:val="left" w:pos="675"/>
          <w:tab w:val="clear" w:pos="708"/>
        </w:tabs>
        <w:suppressAutoHyphens/>
        <w:bidi w:val="0"/>
        <w:spacing w:before="0" w:beforeAutospacing="0" w:after="0" w:afterAutospacing="0" w:line="360" w:lineRule="auto"/>
        <w:ind w:left="0" w:right="-1020" w:firstLine="0"/>
        <w:jc w:val="both"/>
      </w:pPr>
    </w:p>
    <w:p>
      <w:pPr>
        <w:pStyle w:val="NormalWeb"/>
        <w:widowControl/>
        <w:shd w:val="clear" w:color="auto" w:fill="FFFFFF"/>
        <w:tabs>
          <w:tab w:val="left" w:pos="675"/>
          <w:tab w:val="clear" w:pos="708"/>
        </w:tabs>
        <w:suppressAutoHyphens/>
        <w:bidi w:val="0"/>
        <w:spacing w:before="0" w:beforeAutospacing="0" w:after="0" w:afterAutospacing="0" w:line="360" w:lineRule="auto"/>
        <w:ind w:left="-510" w:right="-1020" w:firstLine="113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iv) Informar os recursos destinados pela administração pública municipal para a realização de campeonatos de futebol no município nos anos de 2019, 2020, 2021 e 2022.</w:t>
      </w:r>
    </w:p>
    <w:p>
      <w:pPr>
        <w:pStyle w:val="NormalWeb"/>
        <w:widowControl/>
        <w:shd w:val="clear" w:color="auto" w:fill="FFFFFF"/>
        <w:tabs>
          <w:tab w:val="left" w:pos="675"/>
          <w:tab w:val="clear" w:pos="708"/>
        </w:tabs>
        <w:suppressAutoHyphens/>
        <w:bidi w:val="0"/>
        <w:spacing w:before="0" w:beforeAutospacing="0" w:after="0" w:afterAutospacing="0" w:line="360" w:lineRule="auto"/>
        <w:ind w:left="0" w:right="-1020" w:firstLine="624"/>
        <w:jc w:val="both"/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</w:pPr>
    </w:p>
    <w:p>
      <w:pPr>
        <w:pStyle w:val="NormalWeb"/>
        <w:widowControl/>
        <w:shd w:val="clear" w:color="auto" w:fill="FFFFFF"/>
        <w:tabs>
          <w:tab w:val="left" w:pos="675"/>
          <w:tab w:val="clear" w:pos="708"/>
        </w:tabs>
        <w:suppressAutoHyphens/>
        <w:bidi w:val="0"/>
        <w:spacing w:before="0" w:beforeAutospacing="0" w:after="0" w:afterAutospacing="0" w:line="360" w:lineRule="auto"/>
        <w:ind w:left="-510" w:right="-1020" w:firstLine="1191"/>
        <w:jc w:val="both"/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v)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Encaminhar cópia integral do processo administrativo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de contratação de jogo de futebol com o time máster do Corinthians, contemplando inclusive as documentações sobre contratos, declaração do ordenador de despesa, manifestação jurídica da procuradoria municipal e secretarias competentes, bem como termo de referência, cotações, empenhos, sub-empenhos, ordens e comprovantes dos pagamentos eventualmente realizado.</w:t>
      </w:r>
    </w:p>
    <w:p>
      <w:pPr>
        <w:pStyle w:val="NormalWeb"/>
        <w:widowControl/>
        <w:shd w:val="clear" w:color="auto" w:fill="FFFFFF"/>
        <w:tabs>
          <w:tab w:val="left" w:pos="675"/>
          <w:tab w:val="clear" w:pos="708"/>
        </w:tabs>
        <w:suppressAutoHyphens/>
        <w:bidi w:val="0"/>
        <w:spacing w:before="0" w:beforeAutospacing="0" w:after="0" w:afterAutospacing="0" w:line="360" w:lineRule="auto"/>
        <w:ind w:left="0" w:right="-1020" w:firstLine="624"/>
        <w:jc w:val="both"/>
        <w:rPr>
          <w:b/>
          <w:bCs/>
        </w:rPr>
      </w:pPr>
    </w:p>
    <w:p>
      <w:pPr>
        <w:pStyle w:val="NormalWeb"/>
        <w:widowControl/>
        <w:shd w:val="clear" w:color="auto" w:fill="FFFFFF"/>
        <w:tabs>
          <w:tab w:val="left" w:pos="675"/>
          <w:tab w:val="clear" w:pos="708"/>
        </w:tabs>
        <w:suppressAutoHyphens/>
        <w:bidi w:val="0"/>
        <w:spacing w:before="0" w:beforeAutospacing="0" w:after="0" w:afterAutospacing="0" w:line="360" w:lineRule="auto"/>
        <w:ind w:left="-510" w:right="-1020" w:firstLine="1134"/>
        <w:jc w:val="both"/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vi) Encaminhar cópia integral do prcesso administrativo referente a contratação da seleção máster do Brasil no ano de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 xml:space="preserve">2019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pelo município. 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1134" w:right="-1020" w:firstLine="0"/>
        <w:jc w:val="both"/>
        <w:rPr>
          <w:rFonts w:ascii="Arial" w:hAnsi="Arial"/>
          <w:b w:val="0"/>
          <w:bCs w:val="0"/>
          <w:sz w:val="24"/>
          <w:szCs w:val="24"/>
          <w:u w:val="single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454" w:right="-567" w:firstLine="1134"/>
        <w:jc w:val="both"/>
      </w:pPr>
      <w:r>
        <w:rPr>
          <w:rFonts w:ascii="Arial" w:hAnsi="Arial"/>
          <w:sz w:val="24"/>
          <w:szCs w:val="24"/>
          <w:shd w:val="clear" w:color="auto" w:fill="FFFFFF"/>
        </w:rPr>
        <w:t xml:space="preserve">Assim sendo, tendo em vista que o presente requerimento atende ao interesse público, com fundamento no disposto no artigo 31 da Constituição Federal, c/c com o artigo 27, </w:t>
      </w:r>
      <w:r>
        <w:rPr>
          <w:rFonts w:ascii="Arial" w:hAnsi="Arial"/>
          <w:i/>
          <w:iCs/>
          <w:sz w:val="24"/>
          <w:szCs w:val="24"/>
          <w:shd w:val="clear" w:color="auto" w:fill="FFFFFF"/>
        </w:rPr>
        <w:t>caput</w:t>
      </w:r>
      <w:r>
        <w:rPr>
          <w:rFonts w:ascii="Arial" w:hAnsi="Arial"/>
          <w:sz w:val="24"/>
          <w:szCs w:val="24"/>
          <w:shd w:val="clear" w:color="auto" w:fill="FFFFFF"/>
        </w:rPr>
        <w:t xml:space="preserve">, artigo 32, inciso XXIII e artigo 41 todos da Lei Orgânica de Mogi Mirim, que conferem ao Poder Legislativo Municipal, dentre outras atribuições, as 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454" w:right="-567" w:firstLine="1134"/>
        <w:jc w:val="both"/>
        <w:rPr>
          <w:rFonts w:ascii="Arial" w:hAnsi="Arial"/>
          <w:sz w:val="24"/>
          <w:szCs w:val="24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454" w:right="-567" w:firstLine="1134"/>
        <w:jc w:val="both"/>
        <w:rPr>
          <w:rFonts w:ascii="Arial" w:hAnsi="Arial"/>
          <w:sz w:val="24"/>
          <w:szCs w:val="24"/>
          <w:shd w:val="clear" w:color="auto" w:fill="FFFFFF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454" w:right="-567" w:firstLine="0"/>
        <w:jc w:val="both"/>
      </w:pPr>
      <w:r>
        <w:rPr>
          <w:rFonts w:ascii="Arial" w:hAnsi="Arial"/>
          <w:sz w:val="24"/>
          <w:szCs w:val="24"/>
          <w:shd w:val="clear" w:color="auto" w:fill="FFFFFF"/>
        </w:rPr>
        <w:t>funções de fiscalização e controle dos atos do poder executivo, requer a documentação e informações solicitadas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454" w:right="-567" w:firstLine="0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left="1134" w:right="-567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Por fim, reitero os protestos de respeito e consideração.</w:t>
      </w: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right="-567" w:firstLine="0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line="280" w:lineRule="exact"/>
        <w:ind w:right="-567" w:firstLine="0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15 de junho de 2022</w:t>
      </w:r>
      <w:r>
        <w:rPr>
          <w:rFonts w:cs="Times New Roman"/>
          <w:b/>
          <w:sz w:val="24"/>
          <w:szCs w:val="24"/>
        </w:rPr>
        <w:t>.</w:t>
      </w: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DRA. JOELMA FRANCO DA CUNHA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VEREADORA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</w:p>
    <w:p>
      <w:pPr>
        <w:widowControl/>
        <w:suppressAutoHyphens/>
        <w:bidi w:val="0"/>
        <w:spacing w:before="0" w:after="200" w:line="360" w:lineRule="auto"/>
        <w:ind w:left="-1020" w:right="-850" w:firstLine="0"/>
        <w:jc w:val="both"/>
        <w:rPr>
          <w:rFonts w:ascii="Arial" w:hAnsi="Arial"/>
          <w:sz w:val="20"/>
          <w:szCs w:val="20"/>
        </w:rPr>
      </w:pPr>
      <w:r>
        <w:rPr>
          <w:rFonts w:cs="Times New Roman"/>
          <w:b w:val="0"/>
          <w:bCs w:val="0"/>
          <w:i/>
          <w:iCs/>
          <w:sz w:val="20"/>
          <w:szCs w:val="20"/>
        </w:rPr>
        <w:t xml:space="preserve">(“Esta página de assinaturas é parte integrante e indissociável do Requerimento nº </w:t>
      </w:r>
      <w:r>
        <w:rPr>
          <w:rFonts w:cs="Times New Roman"/>
          <w:b w:val="0"/>
          <w:bCs w:val="0"/>
          <w:i/>
          <w:iCs/>
          <w:sz w:val="20"/>
          <w:szCs w:val="20"/>
        </w:rPr>
        <w:t>273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de 2022, de autoria da Vereadora Joelma Franco da Cunha, pedindo informações sobre a contratação de partida de futebol com time master do Corinthians -  </w:t>
      </w:r>
      <w:r>
        <w:rPr>
          <w:rFonts w:cs="Times New Roman"/>
          <w:b w:val="0"/>
          <w:bCs w:val="0"/>
          <w:i/>
          <w:iCs/>
          <w:sz w:val="20"/>
          <w:szCs w:val="20"/>
        </w:rPr>
        <w:t>15 de junho de 2022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-  Doc de 4 laudas”)</w:t>
      </w:r>
    </w:p>
    <w:p>
      <w:pPr>
        <w:spacing w:before="0" w:after="200" w:line="200" w:lineRule="exact"/>
        <w:jc w:val="center"/>
        <w:rPr>
          <w:rFonts w:ascii="Arial" w:hAnsi="Arial"/>
          <w:sz w:val="20"/>
          <w:szCs w:val="20"/>
        </w:rPr>
      </w:pPr>
    </w:p>
    <w:sectPr>
      <w:headerReference w:type="default" r:id="rId6"/>
      <w:type w:val="nextPage"/>
      <w:pgSz w:w="11906" w:h="16838"/>
      <w:pgMar w:top="1417" w:right="1701" w:bottom="0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3820" distR="83820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3" name="Quadr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5" name="Figura3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929106" name="Figura3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6" name="Figura3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5914241" name="Figura3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658</Words>
  <Characters>3818</Characters>
  <Application>Microsoft Office Word</Application>
  <DocSecurity>0</DocSecurity>
  <Lines>0</Lines>
  <Paragraphs>32</Paragraphs>
  <ScaleCrop>false</ScaleCrop>
  <Company>Microsoft</Company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26</cp:revision>
  <cp:lastPrinted>2022-06-15T12:59:21Z</cp:lastPrinted>
  <dcterms:created xsi:type="dcterms:W3CDTF">2022-03-03T14:11:00Z</dcterms:created>
  <dcterms:modified xsi:type="dcterms:W3CDTF">2022-06-15T14:07:49Z</dcterms:modified>
  <dc:language>pt-BR</dc:language>
</cp:coreProperties>
</file>