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RELATÓRIO </w:t>
      </w:r>
    </w:p>
    <w:p w:rsidR="00000000" w:rsidRPr="00000000" w:rsidP="00000000" w14:paraId="00000003">
      <w:pPr>
        <w:spacing w:before="240" w:line="24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de Lei n.º 104 de 2022</w:t>
      </w:r>
    </w:p>
    <w:p w:rsidR="00000000" w:rsidRPr="00000000" w:rsidP="00000000" w14:paraId="00000005">
      <w:pPr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Processo nº 156 de 2022.</w:t>
      </w:r>
    </w:p>
    <w:p w:rsidR="00000000" w:rsidRPr="00000000" w:rsidP="00000000" w14:paraId="00000006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24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Conforme determinam os artigos 35, 37 e 39, combinados com o artigo 45 da Resolução 276 de 09 de novembro de 2010 – Regimento Interno da Câmara Municipal, a Comissão Permanente de Justiça e Redação, conjuntamente com as Comissões Permanentes de Educação, Saúde, Cultura, Esporte e Assistência Social e de Finanças e Orçamento emitem o presente Relatório acerca do Projeto de Lei n.º 104/2022, de autoria do Exmo. Sr. Prefeito Municipal, sob a relatoria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Gasparini.</w:t>
      </w:r>
    </w:p>
    <w:p w:rsidR="00000000" w:rsidRPr="00000000" w:rsidP="00000000" w14:paraId="00000008">
      <w:p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I. Exposição da Matéria</w:t>
      </w:r>
    </w:p>
    <w:p w:rsidR="00000000" w:rsidRPr="00000000" w:rsidP="00000000" w14:paraId="00000009">
      <w:pPr>
        <w:spacing w:before="240" w:line="276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Excelentíssimo Senhor Prefeito Dr. Paulo de Oliveira e Silva encaminha a esta Casa de Leis o Projeto de Lei n.º 104 de 2022, que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“Dispõe sobre abertura de crédito suplementar, por superávit financeiro de 2021, no valor de R$ 1.880.000,00".</w:t>
      </w:r>
    </w:p>
    <w:p w:rsidR="00000000" w:rsidRPr="00000000" w:rsidP="00000000" w14:paraId="0000000A">
      <w:pPr>
        <w:spacing w:before="240" w:line="276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referido Projeto de Lei busca a autorização legislativa desta Casa de Leis para permitir a abertura de crédito suplementar na Secretaria de Desenvolvimento Social para a destinação de recursos às entidades do Município de Mogi Mirim, com aprovação do Plano de Trabalho e mediante superávit financeiro de 2021 na arrecadação do Fundo Municipal dos Direitos da Criança e ao Adolescente.</w:t>
      </w:r>
    </w:p>
    <w:p w:rsidR="00000000" w:rsidRPr="00000000" w:rsidP="00000000" w14:paraId="0000000B">
      <w:p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II. Do mérito e conclusões do relator</w:t>
      </w:r>
    </w:p>
    <w:p w:rsidR="00000000" w:rsidRPr="00000000" w:rsidP="00000000" w14:paraId="0000000C">
      <w:pPr>
        <w:spacing w:before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>Inicialmente, verifica-se que se trata de um assunto de competência legislativa do Município, conforme determina o artigo 30, inciso I da Constituição Federal, que dispõem sobre:</w:t>
      </w:r>
    </w:p>
    <w:p w:rsidR="00000000" w:rsidRPr="00000000" w:rsidP="00000000" w14:paraId="0000000D">
      <w:pPr>
        <w:shd w:val="clear" w:color="auto" w:fill="FFFFFF"/>
        <w:spacing w:before="200" w:after="200" w:line="276" w:lineRule="auto"/>
        <w:ind w:left="2880" w:firstLine="0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Art. 30. Compete aos Municípios:</w:t>
      </w:r>
    </w:p>
    <w:p w:rsidR="00000000" w:rsidRPr="00000000" w:rsidP="00000000" w14:paraId="0000000E">
      <w:pPr>
        <w:shd w:val="clear" w:color="auto" w:fill="FFFFFF"/>
        <w:spacing w:before="200" w:after="200" w:line="276" w:lineRule="auto"/>
        <w:ind w:left="288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>I - legislar sobre assuntos de interesse local;”</w:t>
      </w:r>
    </w:p>
    <w:p w:rsidR="00000000" w:rsidRPr="00000000" w:rsidP="00000000" w14:paraId="0000000F">
      <w:pPr>
        <w:shd w:val="clear" w:color="auto" w:fill="FFFFFF"/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propositura ainda respeita a competência privativa do Chefe do Poder Executivo, conforme determina art. 51 da Lei Orgânica do Município - LOMM:</w:t>
      </w:r>
    </w:p>
    <w:p w:rsidR="00000000" w:rsidRPr="00000000" w:rsidP="00000000" w14:paraId="00000010">
      <w:pPr>
        <w:shd w:val="clear" w:color="auto" w:fill="FFFFFF"/>
        <w:spacing w:before="240" w:after="240" w:line="276" w:lineRule="auto"/>
        <w:ind w:left="3620" w:firstLine="0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Art. 51. São de iniciativa exclusiva do Prefeito as leis que disponham sobre:</w:t>
      </w:r>
    </w:p>
    <w:p w:rsidR="00000000" w:rsidRPr="00000000" w:rsidP="00000000" w14:paraId="00000011">
      <w:pPr>
        <w:shd w:val="clear" w:color="auto" w:fill="FFFFFF"/>
        <w:spacing w:before="240" w:after="240" w:line="276" w:lineRule="auto"/>
        <w:ind w:left="360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>[...]</w:t>
      </w:r>
    </w:p>
    <w:p w:rsidR="00000000" w:rsidRPr="00000000" w:rsidP="00000000" w14:paraId="00000012">
      <w:pPr>
        <w:shd w:val="clear" w:color="auto" w:fill="FFFFFF"/>
        <w:spacing w:before="240" w:after="240" w:line="276" w:lineRule="auto"/>
        <w:ind w:left="360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>IV – matéria orçamentária e a que se autorize a abertura de créditos ou conceda auxílio, prêmios e subvenções;”</w:t>
      </w:r>
    </w:p>
    <w:p w:rsidR="00000000" w:rsidRPr="00000000" w:rsidP="00000000" w14:paraId="00000013">
      <w:pPr>
        <w:shd w:val="clear" w:color="auto" w:fill="FFFFFF"/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relação à legalidade do projeto, a Lei Federal n.º 4.320/64 dispõe que os créditos adicionais suplementares são aqueles destinados a reforço de dotação orçamentária. Dispõe também que a abertura do crédito suplementar dependerá da existência de recursos disponíveis para ocorrer a despesa, conforme Arts. 41 e 43:</w:t>
      </w:r>
    </w:p>
    <w:p w:rsidR="00000000" w:rsidRPr="00000000" w:rsidP="00000000" w14:paraId="00000014">
      <w:pPr>
        <w:shd w:val="clear" w:color="auto" w:fill="FFFFFF"/>
        <w:spacing w:before="240" w:after="240" w:line="276" w:lineRule="auto"/>
        <w:ind w:left="3600" w:firstLine="0"/>
        <w:jc w:val="both"/>
        <w:rPr>
          <w:rFonts w:ascii="Arial" w:eastAsia="Arial" w:hAnsi="Arial" w:cs="Arial"/>
          <w:i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Art. 41. Os créditos adicionais classificam-se em:</w:t>
      </w:r>
    </w:p>
    <w:p w:rsidR="00000000" w:rsidRPr="00000000" w:rsidP="00000000" w14:paraId="00000015">
      <w:pPr>
        <w:shd w:val="clear" w:color="auto" w:fill="FFFFFF"/>
        <w:spacing w:before="240" w:after="240" w:line="276" w:lineRule="auto"/>
        <w:ind w:left="360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i/>
          <w:sz w:val="24"/>
          <w:szCs w:val="24"/>
          <w:rtl w:val="0"/>
        </w:rPr>
        <w:t>I - suplementares, os destinados a reforço de dotação orçamentária;”</w:t>
      </w:r>
    </w:p>
    <w:p w:rsidR="00000000" w:rsidRPr="00000000" w:rsidP="00000000" w14:paraId="00000016">
      <w:pPr>
        <w:shd w:val="clear" w:color="auto" w:fill="FFFFFF"/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 sua vez, a propositura indica, conforme exigência legal, a fonte de recursos para a referida suplementação, conforme páginas 06 e 07 do presente processo (extratos bancários de 01/01/2021 até 31/12/2021), demonstrando um valor de saldo de banco no montante de R$ 2.077.701,87, enquadrado como superávit financeiro de 2021, dos recursos oriundos do Fundo Municipal da Criança e do Adolescente.</w:t>
      </w:r>
    </w:p>
    <w:p w:rsidR="00000000" w:rsidRPr="00000000" w:rsidP="00000000" w14:paraId="00000017">
      <w:pPr>
        <w:shd w:val="clear" w:color="auto" w:fill="FFFFFF"/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Válido informar que conforme informações da Secretaria Municipal, quando da confecção da Lei Orçamentária Anual é feita uma previsão de valores juntamente com o Conselho e Fundo Municipal, onde foi projetado um valor inicial de aproximadamente R$ 450.000,00. Ocorre que no exercício anterior houve uma grande arrecadação por parte das próprias entidades junto de empresas e pessoas físicas para destinação de parte do valor devido ao imposto de renda, o que justificou esse valor superavitário. Atualmente 100% do valor arrecadado tem origem na destinação legal do imposto de renda da pessoa física e jurídica e seus rendimentos.</w:t>
      </w:r>
    </w:p>
    <w:p w:rsidR="00000000" w:rsidRPr="00000000" w:rsidP="00000000" w14:paraId="00000018">
      <w:pPr>
        <w:shd w:val="clear" w:color="auto" w:fill="FFFFFF"/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a aprovação da abertura do crédito, o valor será destinado para 3 entidades e 4 projetos, conforme Planos de Trabalhos apresentados e aprovados pela Secretaria Municipal de Assistência Social e pelo Conselho Municipal da Criança e Adolescente. As entidades ora beneficiadas pelos valores (que vieram chancelados pelo doador) serão: Instituto Alma Mater R$ 30.226,51; Casa da Criança R$ 45.750,64 e o ICA com dois projetos - ICA Planalto R$ 507.183,98 e ICA 2022 R$ 639.263,12, somando o valor de R$ 1.222.424,25.</w:t>
      </w:r>
    </w:p>
    <w:p w:rsidR="00000000" w:rsidRPr="00000000" w:rsidP="00000000" w14:paraId="00000019">
      <w:pPr>
        <w:shd w:val="clear" w:color="auto" w:fill="FFFFFF"/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saldo restante (aproximadamente R$ 657.000,00 do total de R$ 1.880.000,00) deverá seguir a destinação da legislação vigente, que prevê que do valor restante, 10% deverão permanecer retido no fundo, 5% para serviços de guarda (acolhimento), 5% deverão ser aplicados no Sistema Nacional de Atendimento Socioeducativo, os outros 80% deverão ser aplicados em ações, programas e projetos deliberados pelo conselho competente, por meio de editais específicos.</w:t>
      </w:r>
    </w:p>
    <w:p w:rsidR="00000000" w:rsidRPr="00000000" w:rsidP="00000000" w14:paraId="0000001A">
      <w:pPr>
        <w:shd w:val="clear" w:color="auto" w:fill="FFFFFF"/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Consideramos que o valor destinado será de grande importância para as instituições, tendo em vista a dificuldade que vêm enfrentando para se manterem. Com o recebimento dos recursos, as entidades poderão pagar suas despesas, fazer investimentos em seus patrimônios, reformas, aquisições de material permanente e de custeio e executar melhorias de modo geral, para atender melhor a população acolhida.</w:t>
      </w:r>
    </w:p>
    <w:p w:rsidR="00000000" w:rsidRPr="00000000" w:rsidP="00000000" w14:paraId="0000001B">
      <w:pPr>
        <w:spacing w:before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considerando a importância social que se reveste a matéria, e tendo em vista que não observamos irregularidades na propositura ora analisada, não se verifica óbices para continuidade da proposta apresentada pelo Executivo Municipal.</w:t>
      </w:r>
    </w:p>
    <w:p w:rsidR="00000000" w:rsidRPr="00000000" w:rsidP="00000000" w14:paraId="0000001C">
      <w:p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D">
      <w:p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III. Substitutivos, Emendas ou subemendas ao Projeto</w:t>
      </w:r>
    </w:p>
    <w:p w:rsidR="00000000" w:rsidRPr="00000000" w:rsidP="00000000" w14:paraId="0000001E">
      <w:p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>O Relator não propõe qualquer alteração ao Projeto de Lei sob análise.</w:t>
      </w:r>
    </w:p>
    <w:p w:rsidR="00000000" w:rsidRPr="00000000" w:rsidP="00000000" w14:paraId="0000001F">
      <w:p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IV. Decisão do Relator.</w:t>
      </w:r>
    </w:p>
    <w:p w:rsidR="00000000" w:rsidRPr="00000000" w:rsidP="00000000" w14:paraId="00000020">
      <w:pPr>
        <w:spacing w:before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diante do exposto, esta relatoria considera que a presente propositura não apresenta vícios de constitucionalidade, recebendo assim parecer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FAVORÁVEL.</w:t>
      </w:r>
    </w:p>
    <w:p w:rsidR="00000000" w:rsidRPr="00000000" w:rsidP="00000000" w14:paraId="00000021">
      <w:pPr>
        <w:spacing w:before="24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2">
      <w:pPr>
        <w:spacing w:before="24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VEREADOR JOÃO VICTOR GASPARINI</w:t>
      </w:r>
    </w:p>
    <w:p w:rsidR="00000000" w:rsidRPr="00000000" w:rsidP="00000000" w14:paraId="0000002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Presidente / Relator</w:t>
      </w:r>
    </w:p>
    <w:p w:rsidR="00000000" w:rsidRPr="00000000" w:rsidP="00000000" w14:paraId="00000025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PARECER CONJUNTO N.º     /2022 DA COMISSÃO DE JUSTIÇA E REDAÇÃO; EDUCAÇÃO, SAÚDE, CULTURA, ESPORTE E ASSISTÊNCIA SOCIAL E COMISSÃO DE FINANÇAS E ORÇAMENTO;</w:t>
      </w:r>
    </w:p>
    <w:p w:rsidR="00000000" w:rsidRPr="00000000" w:rsidP="00000000" w14:paraId="00000026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Seguindo o Voto exarado pelo Relator e conforme determina o artigo 35, 37 e 39, combinados com artigo 45 da Resolução n°  276 de 09 de novembro de 2.010 a Comissão de Justiça e Redação conjuntamente com as Comissões Permanentes de Educação, Saúde, Cultura, Esportes e Assistência Social e de Finanças e Orçamento formalizam o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PARECER FAVORÁVEL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28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9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2A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 xml:space="preserve">Sala das Comissões, em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29</w:t>
      </w: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 xml:space="preserve"> de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junho </w:t>
      </w: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>de 2022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.</w:t>
      </w:r>
    </w:p>
    <w:p w:rsidR="00000000" w:rsidRPr="00000000" w:rsidP="00000000" w14:paraId="0000002B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2C">
      <w:pPr>
        <w:spacing w:after="240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D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2E">
      <w:pPr>
        <w:spacing w:after="24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br/>
      </w:r>
    </w:p>
    <w:p w:rsidR="00000000" w:rsidRPr="00000000" w:rsidP="00000000" w14:paraId="0000002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30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3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VEREADOR JOÃO VICTOR GASPARINI</w:t>
      </w:r>
    </w:p>
    <w:p w:rsidR="00000000" w:rsidRPr="00000000" w:rsidP="00000000" w14:paraId="00000032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Presidente / Relator</w:t>
      </w:r>
    </w:p>
    <w:p w:rsidR="00000000" w:rsidRPr="00000000" w:rsidP="00000000" w14:paraId="00000033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4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5">
      <w:pPr>
        <w:spacing w:after="24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6">
      <w:pPr>
        <w:spacing w:after="24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7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VEREADORA MARA CRISTINA CHOQUETTA</w:t>
      </w:r>
    </w:p>
    <w:p w:rsidR="00000000" w:rsidRPr="00000000" w:rsidP="00000000" w14:paraId="00000038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Vice-presidente</w:t>
      </w:r>
    </w:p>
    <w:p w:rsidR="00000000" w:rsidRPr="00000000" w:rsidP="00000000" w14:paraId="00000039">
      <w:pPr>
        <w:spacing w:after="24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A">
      <w:pPr>
        <w:spacing w:after="24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br/>
      </w:r>
    </w:p>
    <w:p w:rsidR="00000000" w:rsidRPr="00000000" w:rsidP="00000000" w14:paraId="0000003B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VEREADORA DR. LÚCIA MARIA FERREIRA TENÓRIO</w:t>
      </w:r>
    </w:p>
    <w:p w:rsidR="00000000" w:rsidRPr="00000000" w:rsidP="00000000" w14:paraId="0000003C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Membro </w:t>
      </w:r>
    </w:p>
    <w:p w:rsidR="00000000" w:rsidRPr="00000000" w:rsidP="00000000" w14:paraId="0000003D">
      <w:pPr>
        <w:jc w:val="center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3E">
      <w:pPr>
        <w:jc w:val="center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3F">
      <w:pPr>
        <w:jc w:val="center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40">
      <w:pPr>
        <w:jc w:val="center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41">
      <w:pPr>
        <w:spacing w:after="240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42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u w:val="single"/>
          <w:rtl w:val="0"/>
        </w:rPr>
        <w:t xml:space="preserve">COMISSÃO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DE EDUCAÇÃO, SAÚDE, CULTURA, ESPORTES E ASSISTÊNCIA SOCIAL</w:t>
      </w:r>
    </w:p>
    <w:p w:rsidR="00000000" w:rsidRPr="00000000" w:rsidP="00000000" w14:paraId="00000043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44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45">
      <w:pPr>
        <w:spacing w:after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VEREADORA JOELMA FRANCO DA CUNHA</w:t>
      </w:r>
    </w:p>
    <w:p w:rsidR="00000000" w:rsidRPr="00000000" w:rsidP="00000000" w14:paraId="00000046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Presidente</w:t>
      </w:r>
    </w:p>
    <w:p w:rsidR="00000000" w:rsidRPr="00000000" w:rsidP="00000000" w14:paraId="00000047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48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4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VEREADORA DR. LÚCIA MARIA FERREIRA TENÓRIO</w:t>
      </w:r>
    </w:p>
    <w:p w:rsidR="00000000" w:rsidRPr="00000000" w:rsidP="00000000" w14:paraId="0000004A">
      <w:pPr>
        <w:spacing w:after="24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Vice-presidente</w:t>
      </w:r>
    </w:p>
    <w:p w:rsidR="00000000" w:rsidRPr="00000000" w:rsidP="00000000" w14:paraId="0000004B">
      <w:pPr>
        <w:spacing w:after="240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4C">
      <w:pPr>
        <w:spacing w:after="240"/>
        <w:rPr>
          <w:rFonts w:ascii="Arial" w:eastAsia="Arial" w:hAnsi="Arial" w:cs="Arial"/>
          <w:b/>
          <w:sz w:val="24"/>
          <w:szCs w:val="24"/>
          <w:u w:val="single"/>
        </w:rPr>
      </w:pPr>
    </w:p>
    <w:p w:rsidR="00000000" w:rsidRPr="00000000" w:rsidP="00000000" w14:paraId="0000004D">
      <w:pPr>
        <w:spacing w:after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MARCIO EVANDRO RIBEIRO</w:t>
      </w:r>
    </w:p>
    <w:p w:rsidR="00000000" w:rsidRPr="00000000" w:rsidP="00000000" w14:paraId="0000004E">
      <w:pPr>
        <w:spacing w:after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Membro</w:t>
      </w:r>
    </w:p>
    <w:p w:rsidR="00000000" w:rsidRPr="00000000" w:rsidP="00000000" w14:paraId="0000004F">
      <w:pPr>
        <w:spacing w:after="24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u w:val="single"/>
          <w:rtl w:val="0"/>
        </w:rPr>
        <w:t>COMISSÃO DE FINANÇAS E ORÇAMENTO</w:t>
      </w:r>
    </w:p>
    <w:p w:rsidR="00000000" w:rsidRPr="00000000" w:rsidP="00000000" w14:paraId="00000051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2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3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4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5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VEREADOR MARCOS PAULO CEGATTI</w:t>
      </w:r>
    </w:p>
    <w:p w:rsidR="00000000" w:rsidRPr="00000000" w:rsidP="00000000" w14:paraId="00000056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 Presidente </w:t>
      </w:r>
    </w:p>
    <w:p w:rsidR="00000000" w:rsidRPr="00000000" w:rsidP="00000000" w14:paraId="00000057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58">
      <w:pPr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59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A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5B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 VEREADOR ALEXANDRE CINTRA</w:t>
      </w:r>
    </w:p>
    <w:p w:rsidR="00000000" w:rsidRPr="00000000" w:rsidP="00000000" w14:paraId="0000005C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Vice-Presidente</w:t>
      </w:r>
    </w:p>
    <w:p w:rsidR="00000000" w:rsidRPr="00000000" w:rsidP="00000000" w14:paraId="0000005D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5E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5F">
      <w:pPr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60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6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 VEREADORA MARA CRISTINA CHOQUETTA</w:t>
      </w:r>
    </w:p>
    <w:p w:rsidR="00000000" w:rsidRPr="00000000" w:rsidP="00000000" w14:paraId="00000062">
      <w:pPr>
        <w:jc w:val="center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Membro</w:t>
      </w: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398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6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631038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6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