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RELATÓRIO </w:t>
      </w:r>
    </w:p>
    <w:p w:rsidR="00000000" w:rsidRPr="00000000" w:rsidP="00000000" w14:paraId="00000003">
      <w:pPr>
        <w:spacing w:before="240" w:line="24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de Lei n.º 104 de 2022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Processo nº 156 de 2022.</w:t>
      </w:r>
    </w:p>
    <w:p w:rsidR="00000000" w:rsidRPr="00000000" w:rsidP="00000000" w14:paraId="00000006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24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Conforme determinam os artigos 35, 37 e 39, combinados com o artigo 45 da Resolução 276 de 09 de novembro de 2010 – Regimento Interno da Câmara Municipal, a Comissão Permanente de Justiça e Redação, conjuntamente com as Comissões Permanentes de Educação, Saúde, Cultura, Esporte e Assistência Social e de Finanças e Orçamento emitem o presente Relatório acerca do Projeto de Lei n.º 104/2022, de autoria do Exmo. Sr. Prefeito Municipal, sob a relatoria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Gasparini.</w:t>
      </w:r>
    </w:p>
    <w:p w:rsidR="00000000" w:rsidRPr="00000000" w:rsidP="00000000" w14:paraId="00000008">
      <w:pPr>
        <w:spacing w:before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I. Exposição da Matéria</w:t>
      </w:r>
    </w:p>
    <w:p w:rsidR="00000000" w:rsidRPr="00000000" w:rsidP="00000000" w14:paraId="00000009">
      <w:pPr>
        <w:spacing w:before="240" w:line="276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Excelentíssimo Senhor Prefeito Dr. Paulo de Oliveira e Silva encaminha a esta Casa de Leis o Projeto de Lei n.º 104 de 2022, que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“Dispõe sobre abertura de crédito suplementar, por superávit financeiro de 2021, no valor de R$ 1.880.000,00".</w:t>
      </w:r>
    </w:p>
    <w:p w:rsidR="00000000" w:rsidRPr="00000000" w:rsidP="00000000" w14:paraId="0000000A">
      <w:pPr>
        <w:spacing w:before="240" w:line="276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referido Projeto de Lei busca a autorização legislativa desta Casa de Leis para permitir a abertura de crédito suplementar na Secretaria de Desenvolvimento Social para a destinação de recursos às entidades do Município de Mogi Mirim, com aprovação do Plano de Trabalho e mediante superávit financeiro de 2021 na arrecadação do Fundo Municipal dos Direitos da Criança e ao Adolescente.</w:t>
      </w:r>
    </w:p>
    <w:p w:rsidR="00000000" w:rsidRPr="00000000" w:rsidP="00000000" w14:paraId="0000000B">
      <w:pPr>
        <w:spacing w:before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II. Do mérito e conclusões do relator</w:t>
      </w:r>
    </w:p>
    <w:p w:rsidR="00000000" w:rsidRPr="00000000" w:rsidP="00000000" w14:paraId="0000000C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Inicialmente, verifica-se que se trata de um assunto de competência legislativa do Município, conforme determina o artigo 30, inciso I da Constituição Federal, que dispõem sobre:</w:t>
      </w:r>
    </w:p>
    <w:p w:rsidR="00000000" w:rsidRPr="00000000" w:rsidP="00000000" w14:paraId="0000000D">
      <w:pPr>
        <w:shd w:val="clear" w:color="auto" w:fill="FFFFFF"/>
        <w:spacing w:before="200" w:after="200" w:line="276" w:lineRule="auto"/>
        <w:ind w:left="2880" w:firstLine="0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Art. 30. Compete aos Municípios:</w:t>
      </w:r>
    </w:p>
    <w:p w:rsidR="00000000" w:rsidRPr="00000000" w:rsidP="00000000" w14:paraId="0000000E">
      <w:pPr>
        <w:shd w:val="clear" w:color="auto" w:fill="FFFFFF"/>
        <w:spacing w:before="200" w:after="200" w:line="276" w:lineRule="auto"/>
        <w:ind w:left="288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>I - legislar sobre assuntos de interesse local;”</w:t>
      </w:r>
    </w:p>
    <w:p w:rsidR="00000000" w:rsidRPr="00000000" w:rsidP="00000000" w14:paraId="0000000F">
      <w:pPr>
        <w:shd w:val="clear" w:color="auto" w:fill="FFFFFF"/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propositura ainda respeita a competência privativa do Chefe do Poder Executivo, conforme determina art. 51 da Lei Orgânica do Município - LOMM:</w:t>
      </w:r>
    </w:p>
    <w:p w:rsidR="00000000" w:rsidRPr="00000000" w:rsidP="00000000" w14:paraId="00000010">
      <w:pPr>
        <w:shd w:val="clear" w:color="auto" w:fill="FFFFFF"/>
        <w:spacing w:before="240" w:after="240" w:line="276" w:lineRule="auto"/>
        <w:ind w:left="3620" w:firstLine="0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Art. 51. São de iniciativa exclusiva do Prefeito as leis que disponham sobre:</w:t>
      </w:r>
    </w:p>
    <w:p w:rsidR="00000000" w:rsidRPr="00000000" w:rsidP="00000000" w14:paraId="00000011">
      <w:pPr>
        <w:shd w:val="clear" w:color="auto" w:fill="FFFFFF"/>
        <w:spacing w:before="240" w:after="240" w:line="276" w:lineRule="auto"/>
        <w:ind w:left="360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>[...]</w:t>
      </w:r>
    </w:p>
    <w:p w:rsidR="00000000" w:rsidRPr="00000000" w:rsidP="00000000" w14:paraId="00000012">
      <w:pPr>
        <w:shd w:val="clear" w:color="auto" w:fill="FFFFFF"/>
        <w:spacing w:before="240" w:after="240" w:line="276" w:lineRule="auto"/>
        <w:ind w:left="360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>IV – matéria orçamentária e a que se autorize a abertura de créditos ou conceda auxílio, prêmios e subvenções;”</w:t>
      </w:r>
    </w:p>
    <w:p w:rsidR="00000000" w:rsidRPr="00000000" w:rsidP="00000000" w14:paraId="00000013">
      <w:pPr>
        <w:shd w:val="clear" w:color="auto" w:fill="FFFFFF"/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relação à legalidade do projeto, a Lei Federal n.º 4.320/64 dispõe que os créditos adicionais suplementares são aqueles destinados a reforço de dotação orçamentária. Dispõe também que a abertura do crédito suplementar dependerá da existência de recursos disponíveis para ocorrer a despesa, conforme Arts. 41 e 43:</w:t>
      </w:r>
    </w:p>
    <w:p w:rsidR="00000000" w:rsidRPr="00000000" w:rsidP="00000000" w14:paraId="00000014">
      <w:pPr>
        <w:shd w:val="clear" w:color="auto" w:fill="FFFFFF"/>
        <w:spacing w:before="240" w:after="240" w:line="276" w:lineRule="auto"/>
        <w:ind w:left="3600" w:firstLine="0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Art. 41. Os créditos adicionais classificam-se em:</w:t>
      </w:r>
    </w:p>
    <w:p w:rsidR="00000000" w:rsidRPr="00000000" w:rsidP="00000000" w14:paraId="00000015">
      <w:pPr>
        <w:shd w:val="clear" w:color="auto" w:fill="FFFFFF"/>
        <w:spacing w:before="240" w:after="240" w:line="276" w:lineRule="auto"/>
        <w:ind w:left="360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>I - suplementares, os destinados a reforço de dotação orçamentária;”</w:t>
      </w:r>
    </w:p>
    <w:p w:rsidR="00000000" w:rsidRPr="00000000" w:rsidP="00000000" w14:paraId="00000016">
      <w:pPr>
        <w:shd w:val="clear" w:color="auto" w:fill="FFFFFF"/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sua vez, a propositura indica, conforme exigência legal, a fonte de recursos para a referida suplementação, conforme páginas 06 e 07 do presente processo (extratos bancários de 01/01/2021 até 31/12/2021), demonstrando um valor de saldo de banco no montante de R$ 2.077.701,87, enquadrado como superávit financeiro de 2021, dos recursos oriundos do Fundo Municipal da Criança e do Adolescente.</w:t>
      </w:r>
    </w:p>
    <w:p w:rsidR="00000000" w:rsidRPr="00000000" w:rsidP="00000000" w14:paraId="00000017">
      <w:pPr>
        <w:shd w:val="clear" w:color="auto" w:fill="FFFFFF"/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Válido informar que conforme informações da Secretaria Municipal, quando da confecção da Lei Orçamentária Anual é feita uma previsão de valores juntamente com o Conselho e Fundo Municipal, onde foi projetado um valor inicial de aproximadamente R$ 450.000,00. Ocorre que no exercício anterior houve uma grande arrecadação por parte das próprias entidades junto de empresas e pessoas físicas para destinação de parte do valor devido ao imposto de renda, o que justificou esse valor superavitário. Atualmente 100% do valor arrecadado tem origem na destinação legal do imposto de renda da pessoa física e jurídica e seus rendimentos.</w:t>
      </w:r>
    </w:p>
    <w:p w:rsidR="00000000" w:rsidRPr="00000000" w:rsidP="00000000" w14:paraId="00000018">
      <w:pPr>
        <w:shd w:val="clear" w:color="auto" w:fill="FFFFFF"/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a aprovação da abertura do crédito, o valor será destinado para 3 entidades e 4 projetos, conforme Planos de Trabalhos apresentados e aprovados pela Secretaria Municipal de Assistência Social e pelo Conselho Municipal da Criança e Adolescente. As entidades ora beneficiadas pelos valores (que vieram chancelados pelo doador) serão: Instituto Alma Mater R$ 30.226,51; Casa da Criança R$ 45.750,64 e o ICA com dois projetos - ICA Planalto R$ 507.183,98 e ICA 2022 R$ 639.263,12, somando o valor de R$ 1.222.424,25.</w:t>
      </w:r>
    </w:p>
    <w:p w:rsidR="00000000" w:rsidRPr="00000000" w:rsidP="00000000" w14:paraId="00000019">
      <w:pPr>
        <w:shd w:val="clear" w:color="auto" w:fill="FFFFFF"/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saldo restante (aproximadamente R$ 657.000,00 do total de R$ 1.880.000,00) deverá seguir a destinação da legislação vigente, que prevê que do valor restante, 10% deverão permanecer retido no fundo, 5% para serviços de guarda (acolhimento), 5% deverão ser aplicados no Sistema Nacional de Atendimento Socioeducativo, os outros 80% deverão ser aplicados em ações, programas e projetos deliberados pelo conselho competente, por meio de editais específicos.</w:t>
      </w:r>
    </w:p>
    <w:p w:rsidR="00000000" w:rsidRPr="00000000" w:rsidP="00000000" w14:paraId="0000001A">
      <w:pPr>
        <w:shd w:val="clear" w:color="auto" w:fill="FFFFFF"/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Consideramos que o valor destinado será de grande importância para as instituições, tendo em vista a dificuldade que vêm enfrentando para se manterem. Com o recebimento dos recursos, as entidades poderão pagar suas despesas, fazer investimentos em seus patrimônios, reformas, aquisições de material permanente e de custeio e executar melhorias de modo geral, para atender melhor a população acolhida.</w:t>
      </w:r>
    </w:p>
    <w:p w:rsidR="00000000" w:rsidRPr="00000000" w:rsidP="00000000" w14:paraId="0000001B">
      <w:pPr>
        <w:spacing w:before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considerando a importância social que se reveste a matéria, e tendo em vista que não observamos irregularidades na propositura ora analisada, não se verifica óbices para continuidade da proposta apresentada pelo Executivo Municipal.</w:t>
      </w:r>
    </w:p>
    <w:p w:rsidR="00000000" w:rsidRPr="00000000" w:rsidP="00000000" w14:paraId="0000001C">
      <w:pPr>
        <w:spacing w:before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before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III. Substitutivos, Emendas ou subemendas ao Projeto</w:t>
      </w:r>
    </w:p>
    <w:p w:rsidR="00000000" w:rsidRPr="00000000" w:rsidP="00000000" w14:paraId="0000001E">
      <w:pPr>
        <w:spacing w:before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O Relator não propõe qualquer alteração ao Projeto de Lei sob análise.</w:t>
      </w:r>
    </w:p>
    <w:p w:rsidR="00000000" w:rsidRPr="00000000" w:rsidP="00000000" w14:paraId="0000001F">
      <w:pPr>
        <w:spacing w:before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IV. Decisão do Relator.</w:t>
      </w:r>
    </w:p>
    <w:p w:rsidR="00000000" w:rsidRPr="00000000" w:rsidP="00000000" w14:paraId="00000020">
      <w:pPr>
        <w:spacing w:before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diante do exposto, esta relatoria considera que a presente propositura não apresenta vícios de constitucionalidade, recebendo assim parecer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FAVORÁVEL.</w:t>
      </w:r>
    </w:p>
    <w:p w:rsidR="00000000" w:rsidRPr="00000000" w:rsidP="00000000" w14:paraId="00000021">
      <w:pPr>
        <w:spacing w:before="24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2">
      <w:pPr>
        <w:spacing w:before="24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VEREADOR JOÃO VICTOR GASPARINI</w:t>
      </w:r>
    </w:p>
    <w:p w:rsidR="00000000" w:rsidRPr="00000000" w:rsidP="00000000" w14:paraId="0000002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Presidente / Relator</w:t>
      </w:r>
    </w:p>
    <w:p w:rsidR="00000000" w:rsidRPr="00000000" w:rsidP="00000000" w14:paraId="00000025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PARECER CONJUNTO N.º     /2022 DA COMISSÃO DE JUSTIÇA E REDAÇÃO; EDUCAÇÃO, SAÚDE, CULTURA, ESPORTE E ASSISTÊNCIA SOCIAL E COMISSÃO DE FINANÇAS E ORÇAMENTO;</w:t>
      </w:r>
    </w:p>
    <w:p w:rsidR="00000000" w:rsidRPr="00000000" w:rsidP="00000000" w14:paraId="00000026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Seguindo o Voto exarado pelo Relator e conforme determina o artigo 35, 37 e 39, combinados com artigo 45 da Resolução n°  276 de 09 de novembro de 2.010 a Comissão de Justiça e Redação conjuntamente com as Comissões Permanentes de Educação, Saúde, Cultura, Esportes e Assistência Social e de Finanças e Orçamento formalizam o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PARECER FAVORÁVEL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28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 xml:space="preserve">Sala das Comissões, em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29</w:t>
      </w: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 xml:space="preserve"> de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junho </w:t>
      </w: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>de 2022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.</w:t>
      </w:r>
    </w:p>
    <w:p w:rsidR="00000000" w:rsidRPr="00000000" w:rsidP="00000000" w14:paraId="0000002B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2C">
      <w:pPr>
        <w:spacing w:after="240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D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2E">
      <w:pPr>
        <w:spacing w:after="24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</w:r>
    </w:p>
    <w:p w:rsidR="00000000" w:rsidRPr="00000000" w:rsidP="00000000" w14:paraId="0000002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30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3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VEREADOR JOÃO VICTOR GASPARINI</w:t>
      </w:r>
    </w:p>
    <w:p w:rsidR="00000000" w:rsidRPr="00000000" w:rsidP="00000000" w14:paraId="00000032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Presidente / Relator</w:t>
      </w:r>
    </w:p>
    <w:p w:rsidR="00000000" w:rsidRPr="00000000" w:rsidP="00000000" w14:paraId="0000003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5">
      <w:pPr>
        <w:spacing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6">
      <w:pPr>
        <w:spacing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7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VEREADORA MARA CRISTINA CHOQUETTA</w:t>
      </w:r>
    </w:p>
    <w:p w:rsidR="00000000" w:rsidRPr="00000000" w:rsidP="00000000" w14:paraId="0000003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Vice-presidente</w:t>
      </w:r>
    </w:p>
    <w:p w:rsidR="00000000" w:rsidRPr="00000000" w:rsidP="00000000" w14:paraId="00000039">
      <w:pPr>
        <w:spacing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A">
      <w:pPr>
        <w:spacing w:after="24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</w:r>
    </w:p>
    <w:p w:rsidR="00000000" w:rsidRPr="00000000" w:rsidP="00000000" w14:paraId="0000003B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VEREADORA DR. LÚCIA MARIA FERREIRA TENÓRIO</w:t>
      </w:r>
    </w:p>
    <w:p w:rsidR="00000000" w:rsidRPr="00000000" w:rsidP="00000000" w14:paraId="0000003C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Membro </w:t>
      </w:r>
    </w:p>
    <w:p w:rsidR="00000000" w:rsidRPr="00000000" w:rsidP="00000000" w14:paraId="0000003D">
      <w:pPr>
        <w:jc w:val="center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3E">
      <w:pPr>
        <w:jc w:val="center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3F">
      <w:pPr>
        <w:jc w:val="center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40">
      <w:pPr>
        <w:jc w:val="center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41">
      <w:pPr>
        <w:spacing w:after="240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42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u w:val="single"/>
          <w:rtl w:val="0"/>
        </w:rPr>
        <w:t xml:space="preserve">COMISSÃO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DE EDUCAÇÃO, SAÚDE, CULTURA, ESPORTES E ASSISTÊNCIA SOCIAL</w:t>
      </w:r>
    </w:p>
    <w:p w:rsidR="00000000" w:rsidRPr="00000000" w:rsidP="00000000" w14:paraId="00000043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44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45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VEREADORA JOELMA FRANCO DA CUNHA</w:t>
      </w:r>
    </w:p>
    <w:p w:rsidR="00000000" w:rsidRPr="00000000" w:rsidP="00000000" w14:paraId="00000046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Presidente</w:t>
      </w:r>
    </w:p>
    <w:p w:rsidR="00000000" w:rsidRPr="00000000" w:rsidP="00000000" w14:paraId="00000047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48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49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VEREADORA DR. LÚCIA MARIA FERREIRA TENÓRIO</w:t>
      </w:r>
    </w:p>
    <w:p w:rsidR="00000000" w:rsidRPr="00000000" w:rsidP="00000000" w14:paraId="0000004A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Vice-presidente</w:t>
      </w:r>
    </w:p>
    <w:p w:rsidR="00000000" w:rsidRPr="00000000" w:rsidP="00000000" w14:paraId="0000004B">
      <w:pPr>
        <w:spacing w:after="240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4C">
      <w:pPr>
        <w:spacing w:after="240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4D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MARCIO EVANDRO RIBEIRO</w:t>
      </w:r>
    </w:p>
    <w:p w:rsidR="00000000" w:rsidRPr="00000000" w:rsidP="00000000" w14:paraId="0000004E">
      <w:pPr>
        <w:spacing w:after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Membro</w:t>
      </w:r>
    </w:p>
    <w:p w:rsidR="00000000" w:rsidRPr="00000000" w:rsidP="00000000" w14:paraId="0000004F">
      <w:pPr>
        <w:spacing w:after="24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u w:val="single"/>
          <w:rtl w:val="0"/>
        </w:rPr>
        <w:t>COMISSÃO DE FINANÇAS E ORÇAMENTO</w:t>
      </w:r>
    </w:p>
    <w:p w:rsidR="00000000" w:rsidRPr="00000000" w:rsidP="00000000" w14:paraId="00000051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2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4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5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VEREADOR MARCOS PAULO CEGATTI</w:t>
      </w:r>
    </w:p>
    <w:p w:rsidR="00000000" w:rsidRPr="00000000" w:rsidP="00000000" w14:paraId="00000056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 Presidente </w:t>
      </w:r>
    </w:p>
    <w:p w:rsidR="00000000" w:rsidRPr="00000000" w:rsidP="00000000" w14:paraId="00000057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58">
      <w:pPr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59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A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B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 VEREADOR ALEXANDRE CINTRA</w:t>
      </w:r>
    </w:p>
    <w:p w:rsidR="00000000" w:rsidRPr="00000000" w:rsidP="00000000" w14:paraId="0000005C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Vice-Presidente</w:t>
      </w:r>
    </w:p>
    <w:p w:rsidR="00000000" w:rsidRPr="00000000" w:rsidP="00000000" w14:paraId="0000005D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5E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5F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60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 VEREADORA MARA CRISTINA CHOQUETTA</w:t>
      </w:r>
    </w:p>
    <w:p w:rsidR="00000000" w:rsidRPr="00000000" w:rsidP="00000000" w14:paraId="00000062">
      <w:pPr>
        <w:jc w:val="center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Membro</w:t>
      </w: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398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6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631038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6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