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RELATÓRIO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  <w:rtl w:val="0"/>
        </w:rPr>
        <w:t xml:space="preserve">Projeto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Resolução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  <w:rtl w:val="0"/>
        </w:rPr>
        <w:t xml:space="preserve"> n.º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02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Processo n° 71 de 2022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shd w:val="clear" w:color="auto" w:fill="auto"/>
          <w:vertAlign w:val="baseline"/>
          <w:rtl w:val="0"/>
        </w:rPr>
        <w:tab/>
        <w:t xml:space="preserve"> </w:t>
        <w:tab/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  <w:tab/>
        <w:t xml:space="preserve">De autoria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do Nobre Vereador Alexandre Cintra, o Projeto de Resolução em análise tem como ementa: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b/>
          <w:color w:val="333333"/>
          <w:sz w:val="24"/>
          <w:szCs w:val="24"/>
          <w:rtl w:val="0"/>
        </w:rPr>
        <w:t>ALTERA A RESOLUÇÃO 276 DE 9 DE NOVEMBRO DE 2010 - REGIMENTO INTERNO DA CÂMARA MUNICIPAL DE MOGI MIRIM, PARA CRIAR A “COMISSÃO PERMANENTE DE MEIO AMBIENTE E DESENVOLVIMENTO SUSTENTÁVEL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”.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  <w:tab/>
        <w:t>O objetivo do Projeto apresentado pelo Nobre Vereador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a criação de uma Comissão Permanente de Meio Ambiente e Desenvolvimento Sustentável no âmbito da Câmara Municipal de Mogi Mirim, com a finalidade de realizar análises e se manifestar por emissão de pareceres sobre todos os assuntos e processos referentes a proteção e defesa do Meio Ambiente. 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>II. Do mérito e conclusões do relator</w:t>
      </w: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Inicialmente cumpre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destacar que o Projeto em epígrafe passou por análise da Mesa da Câmara Municipal, de acordo com o parágrafo 1º do artigo 204 do Regimento Interno desta Casa, recebendo parecer pela Legalidade e Constitucionalidade do Projeto de Resolução nº 02 de 2022. 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Considerando que projeto de resolução é a proposição destinada a regular assuntos de interesse interno da Câmara e destinada a elaboração, reforma total e alteração de dispositivo do regimento interno, de acordo com parágrafo 1° do artigo 145 do Regimento Interno da Câmara Municipal, entendemos que houve respeito em relação à iniciativa da propositura em análise e ao aspecto legal da mesma. 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Cabe ressaltar que, o parágrafo 1° do artigo 33 da Lei Orgânica do Município dispõe sobre as comissões permanentes da Câmara Municipal, atribuindo as suas diretrizes e delegando ao regimento interno desta Casa de Leis a competência de atribuir as suas funções: 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Art. 33. A Câmara terá comissões permanentes e temporárias.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§ 1º As comissões permanentes terão as atribuições delineadas pelo regimento interno e, em razão da matéria de sua competência, cabe: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I – discutir e votar projeto de lei que dispensar, na forma do regimento interno, a competência do plenário, salvo se houver recurso de um décimo dos membros da Casa; 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II – realizar audiências públicas com entidades da sociedade civil; 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III – convocar os Secretários Municipais ou Diretores equivalentes para prestarem informações sobre assuntos inerentes às suas atribuições; 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IV – receber petições, reclamações, representações ou queixas de qualquer pessoa contra atos ou omissões das autoridades ou entidades públicas; </w:t>
      </w: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V – solicitar depoimento de qualquer autoridade ou cidadão; </w:t>
      </w: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VI – exercer, no âmbito de sua competência, a fiscalização dos atos do Executivo e da Administração indireta; </w:t>
      </w:r>
    </w:p>
    <w:p w:rsidR="00000000" w:rsidRPr="00000000" w:rsidP="00000000" w14:paraId="0000001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VII – dar parecer em projetos de lei, em resolução, em decreto legislativo ou em outros expedientes a elas distribuídos; </w:t>
      </w:r>
    </w:p>
    <w:p w:rsidR="00000000" w:rsidRPr="00000000" w:rsidP="00000000" w14:paraId="0000001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2880" w:right="0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VIII – apreciar programas de obras e planos de desenvolvimento, emitindo pareceres sobre eles.</w:t>
      </w:r>
    </w:p>
    <w:p w:rsidR="00000000" w:rsidRPr="00000000" w:rsidP="00000000" w14:paraId="0000001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right="0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Considerando que o Projeto de Resolução ora analisado, que prevê a criação de uma Comissão Permanente de Meio Ambiente e Desenvolvimento Sustentável também dispõe, em seu parágrafo único, sobre as competências da comissão e em conformidade com o artigo 33 da Lei Orgânica Municipal, entendemos que o projeto não possui vícios de inconstitucionalidade, merecendo seguir a sua normal tramitação de acordo com o Regimento Interno desta casa. </w:t>
      </w:r>
    </w:p>
    <w:p w:rsidR="00000000" w:rsidRPr="00000000" w:rsidP="00000000" w14:paraId="0000001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right="0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entanto, a Comissão de Justiça e Redação constatou um equívoco com relação à sua parte normativa, especificamente com relação ao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parágrafo único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artigo 34 do regimento interno, contido no projeto em análise. Trata-se de um parágrafo já existente, no regimento interno, aprovado por meio da Resolução 307 de 2018, que criou a Comissão Permanente de Defesa dos Direitos dos Animais.</w:t>
      </w:r>
    </w:p>
    <w:p w:rsidR="00000000" w:rsidRPr="00000000" w:rsidP="00000000" w14:paraId="0000001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right="0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Comissão esteve em contato com o vereador Alexandre Cintra, autor da propositura, que concordou fazer uma emenda modificativa, renumerando os parágrafos e adequando o texto de acordo com a legislação vigente, principalmente no que se refere à Lei Complementar nº 95 de 1998 (Lei dos Atos Normativos).</w:t>
      </w:r>
    </w:p>
    <w:p w:rsidR="00000000" w:rsidRPr="00000000" w:rsidP="00000000" w14:paraId="00000020">
      <w:pPr>
        <w:spacing w:line="360" w:lineRule="auto"/>
        <w:ind w:firstLine="709"/>
        <w:jc w:val="both"/>
        <w:rPr>
          <w:rFonts w:ascii="Arial" w:eastAsia="Arial" w:hAnsi="Arial" w:cs="Arial"/>
          <w:i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seja no âmbito jurídico ou gramatical não há irregularidades na propositura ora analisada, motivo pelo qual não se verifica óbices para continuidade da proposta apresentada pelo Nobre Vereador.</w:t>
      </w:r>
    </w:p>
    <w:p w:rsidR="00000000" w:rsidRPr="00000000" w:rsidP="00000000" w14:paraId="0000002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2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III. Substitutivos, Emendas ou subemendas ao Projeto</w:t>
      </w:r>
    </w:p>
    <w:p w:rsidR="00000000" w:rsidRPr="00000000" w:rsidP="00000000" w14:paraId="000000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Relator não propõe qualquer alteração ao Projeto de Lei sob análise.</w:t>
      </w:r>
    </w:p>
    <w:p w:rsidR="00000000" w:rsidRPr="00000000" w:rsidP="00000000" w14:paraId="0000002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5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IV. Decisão do Relator</w:t>
      </w:r>
    </w:p>
    <w:p w:rsidR="00000000" w:rsidRPr="00000000" w:rsidP="00000000" w14:paraId="00000026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diante do exposto, esta relatoria considera que a presente propositura não apresenta irregularidades do ponto de vista jurídico e gramatical, recebendo assim parecer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FAVORÁVEL.</w:t>
      </w:r>
    </w:p>
    <w:p w:rsidR="00000000" w:rsidRPr="00000000" w:rsidP="00000000" w14:paraId="00000027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8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9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A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B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Presidente /relator</w:t>
      </w:r>
    </w:p>
    <w:p w:rsidR="00000000" w:rsidRPr="00000000" w:rsidP="00000000" w14:paraId="0000002C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3600"/>
        </w:tabs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</w:rPr>
      </w:pP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3600"/>
        </w:tabs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PARECER  DA COMISSÃO DE JUSTIÇA E REDAÇÃO  AO</w:t>
      </w:r>
    </w:p>
    <w:p w:rsidR="00000000" w:rsidRPr="00000000" w:rsidP="00000000" w14:paraId="0000003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PROJETO DE</w:t>
      </w:r>
      <w:r w:rsidRPr="00000000">
        <w:rPr>
          <w:rFonts w:ascii="Gadugi" w:eastAsia="Gadugi" w:hAnsi="Gadugi" w:cs="Gadugi"/>
          <w:b/>
          <w:sz w:val="24"/>
          <w:szCs w:val="24"/>
          <w:rtl w:val="0"/>
        </w:rPr>
        <w:t xml:space="preserve"> RESOLUÇÃO</w:t>
      </w: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</w:t>
      </w:r>
      <w:r w:rsidRPr="00000000">
        <w:rPr>
          <w:rFonts w:ascii="Gadugi" w:eastAsia="Gadugi" w:hAnsi="Gadugi" w:cs="Gadugi"/>
          <w:b/>
          <w:sz w:val="24"/>
          <w:szCs w:val="24"/>
          <w:rtl w:val="0"/>
        </w:rPr>
        <w:t>02</w:t>
      </w: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/2022.</w:t>
      </w:r>
    </w:p>
    <w:p w:rsidR="00000000" w:rsidRPr="00000000" w:rsidP="00000000" w14:paraId="0000003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Seguindo o Voto exarado pela Relatora e conforme determina o artigo 35, a Comissão de Justiça e Redação formaliza o presente </w:t>
      </w: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PARECER FAVORÁVEL</w:t>
      </w:r>
      <w:r w:rsidRPr="00000000"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RPr="00000000"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Sala das Comissões, em </w:t>
      </w:r>
      <w:r w:rsidRPr="00000000">
        <w:rPr>
          <w:rFonts w:ascii="Gadugi" w:eastAsia="Gadugi" w:hAnsi="Gadugi" w:cs="Gadugi"/>
          <w:sz w:val="24"/>
          <w:szCs w:val="24"/>
          <w:highlight w:val="white"/>
          <w:rtl w:val="0"/>
        </w:rPr>
        <w:t>2</w:t>
      </w:r>
      <w:r w:rsidRPr="00000000"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 de </w:t>
      </w:r>
      <w:r w:rsidRPr="00000000">
        <w:rPr>
          <w:rFonts w:ascii="Gadugi" w:eastAsia="Gadugi" w:hAnsi="Gadugi" w:cs="Gadugi"/>
          <w:sz w:val="24"/>
          <w:szCs w:val="24"/>
          <w:highlight w:val="white"/>
          <w:rtl w:val="0"/>
        </w:rPr>
        <w:t xml:space="preserve">junho </w:t>
      </w:r>
      <w:r w:rsidRPr="00000000"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de 2022.</w:t>
      </w: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RPr="00000000"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>COMISSÃO DE JUSTIÇA E REDAÇÃO</w:t>
      </w: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sz w:val="24"/>
          <w:szCs w:val="24"/>
          <w:highlight w:val="white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sz w:val="24"/>
          <w:szCs w:val="24"/>
          <w:highlight w:val="white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sz w:val="24"/>
          <w:szCs w:val="24"/>
          <w:highlight w:val="white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sz w:val="24"/>
          <w:szCs w:val="24"/>
          <w:highlight w:val="white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sz w:val="24"/>
          <w:szCs w:val="24"/>
          <w:highlight w:val="white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VEREADOR JOÃO VICTOR GASPARINI</w:t>
      </w: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PRESIDENTE</w:t>
      </w:r>
      <w:r w:rsidRPr="00000000">
        <w:rPr>
          <w:rFonts w:ascii="Gadugi" w:eastAsia="Gadugi" w:hAnsi="Gadugi" w:cs="Gadugi"/>
          <w:b/>
          <w:sz w:val="24"/>
          <w:szCs w:val="24"/>
          <w:highlight w:val="white"/>
          <w:rtl w:val="0"/>
        </w:rPr>
        <w:t xml:space="preserve"> / RELATOR</w:t>
      </w: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</w:p>
    <w:p w:rsidR="00000000" w:rsidRPr="00000000" w:rsidP="00000000" w14:paraId="0000004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</w:p>
    <w:p w:rsidR="00000000" w:rsidRPr="00000000" w:rsidP="00000000" w14:paraId="0000004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VEREADORA MARA CRISTINA CHOQUETTA</w:t>
      </w:r>
    </w:p>
    <w:p w:rsidR="00000000" w:rsidRPr="00000000" w:rsidP="00000000" w14:paraId="0000004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VICE - PRESIDENTE</w:t>
      </w:r>
    </w:p>
    <w:p w:rsidR="00000000" w:rsidRPr="00000000" w:rsidP="00000000" w14:paraId="0000004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4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5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sz w:val="24"/>
          <w:szCs w:val="24"/>
          <w:highlight w:val="white"/>
        </w:rPr>
      </w:pPr>
    </w:p>
    <w:p w:rsidR="00000000" w:rsidRPr="00000000" w:rsidP="00000000" w14:paraId="0000005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</w:p>
    <w:p w:rsidR="00000000" w:rsidRPr="00000000" w:rsidP="00000000" w14:paraId="0000005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</w:p>
    <w:p w:rsidR="00000000" w:rsidRPr="00000000" w:rsidP="00000000" w14:paraId="0000005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VEREADORA  LÚCIA MARIA TENÓRIO</w:t>
      </w:r>
    </w:p>
    <w:p w:rsidR="00000000" w:rsidRPr="00000000" w:rsidP="00000000" w14:paraId="0000005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MEMBRO</w:t>
      </w:r>
    </w:p>
    <w:p w:rsidR="00000000" w:rsidRPr="00000000" w:rsidP="00000000" w14:paraId="0000005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right"/>
      </w:pPr>
    </w:p>
    <w:p w:rsidR="00000000" w:rsidRPr="00000000" w:rsidP="00000000" w14:paraId="0000005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right"/>
      </w:pPr>
    </w:p>
    <w:p w:rsidR="00000000" w:rsidRPr="00000000" w:rsidP="00000000" w14:paraId="0000005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right"/>
      </w:pPr>
    </w:p>
    <w:p w:rsidR="00000000" w:rsidRPr="00000000" w:rsidP="00000000" w14:paraId="0000005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right"/>
      </w:pPr>
    </w:p>
    <w:p w:rsidR="00000000" w:rsidRPr="00000000" w:rsidP="00000000" w14:paraId="0000005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Gadugi" w:eastAsia="Gadugi" w:hAnsi="Gadugi" w:cs="Gadugi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 w:orient="portrait"/>
      <w:pgMar w:top="2268" w:right="1321" w:bottom="182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Gadug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5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2618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5040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