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b/>
          <w:sz w:val="24"/>
          <w:szCs w:val="24"/>
        </w:rPr>
      </w:pP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b/>
          <w:sz w:val="24"/>
          <w:szCs w:val="24"/>
        </w:rPr>
      </w:pP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b/>
          <w:sz w:val="24"/>
          <w:szCs w:val="24"/>
        </w:rPr>
      </w:pP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RELATÓRIO</w:t>
      </w: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shd w:val="clear" w:color="auto" w:fill="auto"/>
          <w:vertAlign w:val="baseline"/>
        </w:rPr>
      </w:pP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shd w:val="clear" w:color="auto" w:fill="auto"/>
          <w:vertAlign w:val="baseline"/>
          <w:rtl w:val="0"/>
        </w:rPr>
        <w:t xml:space="preserve">Projeto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Resolução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shd w:val="clear" w:color="auto" w:fill="auto"/>
          <w:vertAlign w:val="baseline"/>
          <w:rtl w:val="0"/>
        </w:rPr>
        <w:t xml:space="preserve"> n.º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02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shd w:val="clear" w:color="auto" w:fill="auto"/>
          <w:vertAlign w:val="baseline"/>
          <w:rtl w:val="0"/>
        </w:rPr>
        <w:t xml:space="preserve"> de 2022</w:t>
      </w:r>
    </w:p>
    <w:p w:rsidR="00000000" w:rsidRPr="00000000" w:rsidP="00000000" w14:paraId="0000000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left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Processo n° 71 de 2022</w:t>
      </w:r>
    </w:p>
    <w:p w:rsidR="00000000" w:rsidRPr="00000000" w:rsidP="00000000" w14:paraId="0000000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both"/>
        <w:rPr>
          <w:rFonts w:ascii="Arial" w:eastAsia="Arial" w:hAnsi="Arial" w:cs="Arial"/>
          <w:i w:val="0"/>
          <w:smallCaps w:val="0"/>
          <w:strike w:val="0"/>
          <w:color w:val="000000"/>
          <w:sz w:val="24"/>
          <w:szCs w:val="24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i w:val="0"/>
          <w:smallCaps w:val="0"/>
          <w:strike w:val="0"/>
          <w:color w:val="000000"/>
          <w:sz w:val="24"/>
          <w:szCs w:val="24"/>
          <w:shd w:val="clear" w:color="auto" w:fill="auto"/>
          <w:vertAlign w:val="baseline"/>
          <w:rtl w:val="0"/>
        </w:rPr>
        <w:tab/>
        <w:t xml:space="preserve"> </w:t>
        <w:tab/>
      </w:r>
    </w:p>
    <w:p w:rsidR="00000000" w:rsidRPr="00000000" w:rsidP="00000000" w14:paraId="0000000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I. Exposição da Matéria</w:t>
      </w:r>
    </w:p>
    <w:p w:rsidR="00000000" w:rsidRPr="00000000" w:rsidP="00000000" w14:paraId="0000000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709"/>
        <w:jc w:val="both"/>
        <w:rPr>
          <w:rFonts w:ascii="Arial" w:eastAsia="Arial" w:hAnsi="Arial" w:cs="Arial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</w:t>
        <w:tab/>
        <w:t xml:space="preserve">De autoria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do Nobre Vereador Alexandre Cintra, o Projeto de Resolução em análise tem como ementa: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</w:t>
      </w:r>
      <w:r w:rsidRPr="00000000">
        <w:rPr>
          <w:rFonts w:ascii="Arial" w:eastAsia="Arial" w:hAnsi="Arial" w:cs="Arial"/>
          <w:b/>
          <w:color w:val="333333"/>
          <w:sz w:val="24"/>
          <w:szCs w:val="24"/>
          <w:rtl w:val="0"/>
        </w:rPr>
        <w:t>ALTERA A RESOLUÇÃO 276 DE 9 DE NOVEMBRO DE 2010 - REGIMENTO INTERNO DA CÂMARA MUNICIPAL DE MOGI MIRIM, PARA CRIAR A “COMISSÃO PERMANENTE DE MEIO AMBIENTE E DESENVOLVIMENTO SUSTENTÁVEL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>”.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  <w:tab/>
        <w:t>O objetivo do Projeto apresentado pelo Nobre Vereador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é a criação de uma Comissão Permanente de Meio Ambiente e Desenvolvimento Sustentável no âmbito da Câmara Municipal de Mogi Mirim, com a finalidade de realizar análises e se manifestar por emissão de pareceres sobre todos os assuntos e processos referentes a proteção e defesa do Meio Ambiente. </w:t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both"/>
        <w:rPr>
          <w:rFonts w:ascii="Arial" w:eastAsia="Arial" w:hAnsi="Arial" w:cs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>II. Do mérito e conclusões do relator</w:t>
      </w:r>
      <w:r w:rsidRPr="00000000">
        <w:rPr>
          <w:rFonts w:ascii="Arial" w:eastAsia="Arial" w:hAnsi="Arial" w:cs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both"/>
        <w:rPr>
          <w:rFonts w:ascii="Arial" w:eastAsia="Arial" w:hAnsi="Arial" w:cs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Inicialmente cumpre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destacar que o Projeto em epígrafe passou por análise da Mesa da Câmara Municipal, de acordo com o parágrafo 1º do artigo 204 do Regimento Interno desta Casa, recebendo parecer pela Legalidade e Constitucionalidade do Projeto de Resolução nº 02 de 2022.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Considerando que projeto de resolução é a proposição destinada a regular assuntos de interesse interno da Câmara e destinada a elaboração, reforma total e alteração de dispositivo do regimento interno, de acordo com parágrafo 1° do artigo 145 do Regimento Interno da Câmara Municipal, entendemos que houve respeito em relação à iniciativa da propositura em análise e ao aspecto legal da mesma.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Cabe ressaltar que, o parágrafo 1° do artigo 33 da Lei Orgânica do Município dispõe sobre as comissões permanentes da Câmara Municipal, atribuindo as suas diretrizes e delegando ao regimento interno desta Casa de Leis a competência de atribuir as suas funções: </w:t>
      </w: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2880" w:right="0" w:firstLine="708"/>
        <w:jc w:val="both"/>
        <w:rPr>
          <w:rFonts w:ascii="Arial" w:eastAsia="Arial" w:hAnsi="Arial" w:cs="Arial"/>
          <w:i/>
          <w:sz w:val="24"/>
          <w:szCs w:val="24"/>
        </w:rPr>
      </w:pPr>
      <w:r w:rsidRPr="00000000">
        <w:rPr>
          <w:rFonts w:ascii="Arial" w:eastAsia="Arial" w:hAnsi="Arial" w:cs="Arial"/>
          <w:i/>
          <w:sz w:val="24"/>
          <w:szCs w:val="24"/>
          <w:rtl w:val="0"/>
        </w:rPr>
        <w:t>Art. 33. A Câmara terá comissões permanentes e temporárias.</w:t>
      </w: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2880" w:right="0" w:firstLine="708"/>
        <w:jc w:val="both"/>
        <w:rPr>
          <w:rFonts w:ascii="Arial" w:eastAsia="Arial" w:hAnsi="Arial" w:cs="Arial"/>
          <w:i/>
          <w:sz w:val="24"/>
          <w:szCs w:val="24"/>
        </w:rPr>
      </w:pPr>
      <w:r w:rsidRPr="00000000">
        <w:rPr>
          <w:rFonts w:ascii="Arial" w:eastAsia="Arial" w:hAnsi="Arial" w:cs="Arial"/>
          <w:i/>
          <w:sz w:val="24"/>
          <w:szCs w:val="24"/>
          <w:rtl w:val="0"/>
        </w:rPr>
        <w:t>§ 1º As comissões permanentes terão as atribuições delineadas pelo regimento interno e, em razão da matéria de sua competência, cabe:</w:t>
      </w:r>
    </w:p>
    <w:p w:rsidR="00000000" w:rsidRPr="00000000" w:rsidP="00000000" w14:paraId="0000001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2880" w:right="0" w:firstLine="708"/>
        <w:jc w:val="both"/>
        <w:rPr>
          <w:rFonts w:ascii="Arial" w:eastAsia="Arial" w:hAnsi="Arial" w:cs="Arial"/>
          <w:i/>
          <w:sz w:val="24"/>
          <w:szCs w:val="24"/>
        </w:rPr>
      </w:pPr>
      <w:r w:rsidRPr="00000000">
        <w:rPr>
          <w:rFonts w:ascii="Arial" w:eastAsia="Arial" w:hAnsi="Arial" w:cs="Arial"/>
          <w:i/>
          <w:sz w:val="24"/>
          <w:szCs w:val="24"/>
          <w:rtl w:val="0"/>
        </w:rPr>
        <w:t xml:space="preserve">I – discutir e votar projeto de lei que dispensar, na forma do regimento interno, a competência do plenário, salvo se houver recurso de um décimo dos membros da Casa; </w:t>
      </w:r>
    </w:p>
    <w:p w:rsidR="00000000" w:rsidRPr="00000000" w:rsidP="00000000" w14:paraId="0000001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2880" w:right="0" w:firstLine="708"/>
        <w:jc w:val="both"/>
        <w:rPr>
          <w:rFonts w:ascii="Arial" w:eastAsia="Arial" w:hAnsi="Arial" w:cs="Arial"/>
          <w:i/>
          <w:sz w:val="24"/>
          <w:szCs w:val="24"/>
        </w:rPr>
      </w:pPr>
      <w:r w:rsidRPr="00000000">
        <w:rPr>
          <w:rFonts w:ascii="Arial" w:eastAsia="Arial" w:hAnsi="Arial" w:cs="Arial"/>
          <w:i/>
          <w:sz w:val="24"/>
          <w:szCs w:val="24"/>
          <w:rtl w:val="0"/>
        </w:rPr>
        <w:t xml:space="preserve">II – realizar audiências públicas com entidades da sociedade civil; </w:t>
      </w:r>
    </w:p>
    <w:p w:rsidR="00000000" w:rsidRPr="00000000" w:rsidP="00000000" w14:paraId="0000001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2880" w:right="0" w:firstLine="708"/>
        <w:jc w:val="both"/>
        <w:rPr>
          <w:rFonts w:ascii="Arial" w:eastAsia="Arial" w:hAnsi="Arial" w:cs="Arial"/>
          <w:i/>
          <w:sz w:val="24"/>
          <w:szCs w:val="24"/>
        </w:rPr>
      </w:pPr>
      <w:r w:rsidRPr="00000000">
        <w:rPr>
          <w:rFonts w:ascii="Arial" w:eastAsia="Arial" w:hAnsi="Arial" w:cs="Arial"/>
          <w:i/>
          <w:sz w:val="24"/>
          <w:szCs w:val="24"/>
          <w:rtl w:val="0"/>
        </w:rPr>
        <w:t xml:space="preserve">III – convocar os Secretários Municipais ou Diretores equivalentes para prestarem informações sobre assuntos inerentes às suas atribuições; </w:t>
      </w:r>
    </w:p>
    <w:p w:rsidR="00000000" w:rsidRPr="00000000" w:rsidP="00000000" w14:paraId="0000001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2880" w:right="0" w:firstLine="708"/>
        <w:jc w:val="both"/>
        <w:rPr>
          <w:rFonts w:ascii="Arial" w:eastAsia="Arial" w:hAnsi="Arial" w:cs="Arial"/>
          <w:i/>
          <w:sz w:val="24"/>
          <w:szCs w:val="24"/>
        </w:rPr>
      </w:pPr>
      <w:r w:rsidRPr="00000000">
        <w:rPr>
          <w:rFonts w:ascii="Arial" w:eastAsia="Arial" w:hAnsi="Arial" w:cs="Arial"/>
          <w:i/>
          <w:sz w:val="24"/>
          <w:szCs w:val="24"/>
          <w:rtl w:val="0"/>
        </w:rPr>
        <w:t xml:space="preserve">IV – receber petições, reclamações, representações ou queixas de qualquer pessoa contra atos ou omissões das autoridades ou entidades públicas; </w:t>
      </w:r>
    </w:p>
    <w:p w:rsidR="00000000" w:rsidRPr="00000000" w:rsidP="00000000" w14:paraId="0000001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2880" w:right="0" w:firstLine="708"/>
        <w:jc w:val="both"/>
        <w:rPr>
          <w:rFonts w:ascii="Arial" w:eastAsia="Arial" w:hAnsi="Arial" w:cs="Arial"/>
          <w:i/>
          <w:sz w:val="24"/>
          <w:szCs w:val="24"/>
        </w:rPr>
      </w:pPr>
      <w:r w:rsidRPr="00000000">
        <w:rPr>
          <w:rFonts w:ascii="Arial" w:eastAsia="Arial" w:hAnsi="Arial" w:cs="Arial"/>
          <w:i/>
          <w:sz w:val="24"/>
          <w:szCs w:val="24"/>
          <w:rtl w:val="0"/>
        </w:rPr>
        <w:t xml:space="preserve">V – solicitar depoimento de qualquer autoridade ou cidadão; </w:t>
      </w:r>
    </w:p>
    <w:p w:rsidR="00000000" w:rsidRPr="00000000" w:rsidP="00000000" w14:paraId="0000001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2880" w:right="0" w:firstLine="708"/>
        <w:jc w:val="both"/>
        <w:rPr>
          <w:rFonts w:ascii="Arial" w:eastAsia="Arial" w:hAnsi="Arial" w:cs="Arial"/>
          <w:i/>
          <w:sz w:val="24"/>
          <w:szCs w:val="24"/>
        </w:rPr>
      </w:pPr>
      <w:r w:rsidRPr="00000000">
        <w:rPr>
          <w:rFonts w:ascii="Arial" w:eastAsia="Arial" w:hAnsi="Arial" w:cs="Arial"/>
          <w:i/>
          <w:sz w:val="24"/>
          <w:szCs w:val="24"/>
          <w:rtl w:val="0"/>
        </w:rPr>
        <w:t xml:space="preserve">VI – exercer, no âmbito de sua competência, a fiscalização dos atos do Executivo e da Administração indireta; </w:t>
      </w:r>
    </w:p>
    <w:p w:rsidR="00000000" w:rsidRPr="00000000" w:rsidP="00000000" w14:paraId="0000001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2880" w:right="0" w:firstLine="708"/>
        <w:jc w:val="both"/>
        <w:rPr>
          <w:rFonts w:ascii="Arial" w:eastAsia="Arial" w:hAnsi="Arial" w:cs="Arial"/>
          <w:i/>
          <w:sz w:val="24"/>
          <w:szCs w:val="24"/>
        </w:rPr>
      </w:pPr>
      <w:r w:rsidRPr="00000000">
        <w:rPr>
          <w:rFonts w:ascii="Arial" w:eastAsia="Arial" w:hAnsi="Arial" w:cs="Arial"/>
          <w:i/>
          <w:sz w:val="24"/>
          <w:szCs w:val="24"/>
          <w:rtl w:val="0"/>
        </w:rPr>
        <w:t xml:space="preserve">VII – dar parecer em projetos de lei, em resolução, em decreto legislativo ou em outros expedientes a elas distribuídos; </w:t>
      </w:r>
    </w:p>
    <w:p w:rsidR="00000000" w:rsidRPr="00000000" w:rsidP="00000000" w14:paraId="0000001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2880" w:right="0" w:firstLine="708"/>
        <w:jc w:val="both"/>
        <w:rPr>
          <w:rFonts w:ascii="Arial" w:eastAsia="Arial" w:hAnsi="Arial" w:cs="Arial"/>
          <w:i/>
          <w:sz w:val="24"/>
          <w:szCs w:val="24"/>
        </w:rPr>
      </w:pPr>
      <w:r w:rsidRPr="00000000">
        <w:rPr>
          <w:rFonts w:ascii="Arial" w:eastAsia="Arial" w:hAnsi="Arial" w:cs="Arial"/>
          <w:i/>
          <w:sz w:val="24"/>
          <w:szCs w:val="24"/>
          <w:rtl w:val="0"/>
        </w:rPr>
        <w:t>VIII – apreciar programas de obras e planos de desenvolvimento, emitindo pareceres sobre eles.</w:t>
      </w:r>
    </w:p>
    <w:p w:rsidR="00000000" w:rsidRPr="00000000" w:rsidP="00000000" w14:paraId="0000001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right="0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Considerando que o Projeto de Resolução ora analisado, que prevê a criação de uma Comissão Permanente de Meio Ambiente e Desenvolvimento Sustentável também dispõe, em seu parágrafo único, sobre as competências da comissão e em conformidade com o artigo 33 da Lei Orgânica Municipal, entendemos que o projeto não possui vícios de inconstitucionalidade, merecendo seguir a sua normal tramitação de acordo com o Regimento Interno desta casa. </w:t>
      </w:r>
    </w:p>
    <w:p w:rsidR="00000000" w:rsidRPr="00000000" w:rsidP="00000000" w14:paraId="0000001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right="0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entanto, a Comissão de Justiça e Redação constatou um equívoco com relação à sua parte normativa, especificamente com relação ao </w:t>
      </w:r>
      <w:r w:rsidRPr="00000000">
        <w:rPr>
          <w:rFonts w:ascii="Arial" w:eastAsia="Arial" w:hAnsi="Arial" w:cs="Arial"/>
          <w:i/>
          <w:sz w:val="24"/>
          <w:szCs w:val="24"/>
          <w:rtl w:val="0"/>
        </w:rPr>
        <w:t>parágrafo único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 artigo 34 do regimento interno, contido no projeto em análise. Trata-se de um parágrafo já existente, no regimento interno, aprovado por meio da Resolução 307 de 2018, que criou a Comissão Permanente de Defesa dos Direitos dos Animais.</w:t>
      </w:r>
    </w:p>
    <w:p w:rsidR="00000000" w:rsidRPr="00000000" w:rsidP="00000000" w14:paraId="0000001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right="0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Comissão esteve em contato com o vereador Alexandre Cintra, autor da propositura, que concordou fazer uma emenda modificativa, renumerando os parágrafos e adequando o texto de acordo com a legislação vigente, principalmente no que se refere à Lei Complementar nº 95 de 1998 (Lei dos Atos Normativos).</w:t>
      </w:r>
    </w:p>
    <w:p w:rsidR="00000000" w:rsidRPr="00000000" w:rsidP="00000000" w14:paraId="00000020">
      <w:pPr>
        <w:spacing w:line="360" w:lineRule="auto"/>
        <w:ind w:firstLine="709"/>
        <w:jc w:val="both"/>
        <w:rPr>
          <w:rFonts w:ascii="Arial" w:eastAsia="Arial" w:hAnsi="Arial" w:cs="Arial"/>
          <w:i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Portanto, seja no âmbito jurídico ou gramatical não há irregularidades na propositura ora analisada, motivo pelo qual não se verifica óbices para continuidade da proposta apresentada pelo Nobre Vereador.</w:t>
      </w:r>
    </w:p>
    <w:p w:rsidR="00000000" w:rsidRPr="00000000" w:rsidP="00000000" w14:paraId="0000002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both"/>
        <w:rPr>
          <w:rFonts w:ascii="Arial" w:eastAsia="Arial" w:hAnsi="Arial" w:cs="Arial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</w:t>
      </w:r>
    </w:p>
    <w:p w:rsidR="00000000" w:rsidRPr="00000000" w:rsidP="00000000" w14:paraId="00000022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III. Substitutivos, Emendas ou subemendas ao Projeto</w:t>
      </w:r>
    </w:p>
    <w:p w:rsidR="00000000" w:rsidRPr="00000000" w:rsidP="00000000" w14:paraId="00000023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O Relator não propõe qualquer alteração ao Projeto de Lei sob análise.</w:t>
      </w:r>
    </w:p>
    <w:p w:rsidR="00000000" w:rsidRPr="00000000" w:rsidP="00000000" w14:paraId="0000002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25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IV. Decisão do Relator</w:t>
      </w:r>
    </w:p>
    <w:p w:rsidR="00000000" w:rsidRPr="00000000" w:rsidP="00000000" w14:paraId="00000026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diante do exposto, esta relatoria considera que a presente propositura não apresenta irregularidades do ponto de vista jurídico e gramatical, recebendo assim parecer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FAVORÁVEL.</w:t>
      </w:r>
    </w:p>
    <w:p w:rsidR="00000000" w:rsidRPr="00000000" w:rsidP="00000000" w14:paraId="00000027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28">
      <w:pPr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29">
      <w:pPr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2A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VEREADOR </w:t>
      </w: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JOÃO VICTOR GASPARINI</w:t>
      </w:r>
    </w:p>
    <w:p w:rsidR="00000000" w:rsidRPr="00000000" w:rsidP="00000000" w14:paraId="0000002B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Presidente /relator</w:t>
      </w:r>
    </w:p>
    <w:p w:rsidR="00000000" w:rsidRPr="00000000" w:rsidP="00000000" w14:paraId="0000002C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2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3600"/>
        </w:tabs>
        <w:spacing w:before="0" w:after="0" w:line="240" w:lineRule="auto"/>
        <w:ind w:left="0" w:right="0" w:firstLine="0"/>
        <w:jc w:val="left"/>
        <w:rPr>
          <w:rFonts w:ascii="Gadugi" w:eastAsia="Gadugi" w:hAnsi="Gadugi" w:cs="Gadugi"/>
          <w:b/>
          <w:sz w:val="24"/>
          <w:szCs w:val="24"/>
        </w:rPr>
      </w:pPr>
    </w:p>
    <w:p w:rsidR="00000000" w:rsidRPr="00000000" w:rsidP="00000000" w14:paraId="0000002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3600"/>
        </w:tabs>
        <w:spacing w:before="0" w:after="0" w:line="240" w:lineRule="auto"/>
        <w:ind w:left="0" w:right="0" w:firstLine="0"/>
        <w:jc w:val="left"/>
        <w:rPr>
          <w:rFonts w:ascii="Gadugi" w:eastAsia="Gadugi" w:hAnsi="Gadugi" w:cs="Gadugi"/>
          <w:b/>
          <w:sz w:val="24"/>
          <w:szCs w:val="24"/>
        </w:rPr>
      </w:pPr>
    </w:p>
    <w:p w:rsidR="00000000" w:rsidRPr="00000000" w:rsidP="00000000" w14:paraId="0000002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Gadugi" w:eastAsia="Gadugi" w:hAnsi="Gadugi" w:cs="Gadugi"/>
          <w:b/>
          <w:sz w:val="24"/>
          <w:szCs w:val="24"/>
        </w:rPr>
      </w:pPr>
    </w:p>
    <w:p w:rsidR="00000000" w:rsidRPr="00000000" w:rsidP="00000000" w14:paraId="0000003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 w:rsidRPr="00000000"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PARECER  DA COMISSÃO DE JUSTIÇA E REDAÇÃO  AO</w:t>
      </w:r>
    </w:p>
    <w:p w:rsidR="00000000" w:rsidRPr="00000000" w:rsidP="00000000" w14:paraId="0000003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 w:rsidRPr="00000000"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PROJETO DE</w:t>
      </w:r>
      <w:r w:rsidRPr="00000000">
        <w:rPr>
          <w:rFonts w:ascii="Gadugi" w:eastAsia="Gadugi" w:hAnsi="Gadugi" w:cs="Gadugi"/>
          <w:b/>
          <w:sz w:val="24"/>
          <w:szCs w:val="24"/>
          <w:rtl w:val="0"/>
        </w:rPr>
        <w:t xml:space="preserve"> RESOLUÇÃO</w:t>
      </w:r>
      <w:r w:rsidRPr="00000000"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</w:t>
      </w:r>
      <w:r w:rsidRPr="00000000">
        <w:rPr>
          <w:rFonts w:ascii="Gadugi" w:eastAsia="Gadugi" w:hAnsi="Gadugi" w:cs="Gadugi"/>
          <w:b/>
          <w:sz w:val="24"/>
          <w:szCs w:val="24"/>
          <w:rtl w:val="0"/>
        </w:rPr>
        <w:t>02</w:t>
      </w:r>
      <w:r w:rsidRPr="00000000"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/2022.</w:t>
      </w:r>
    </w:p>
    <w:p w:rsidR="00000000" w:rsidRPr="00000000" w:rsidP="00000000" w14:paraId="0000003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3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3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Gadugi" w:eastAsia="Gadugi" w:hAnsi="Gadugi" w:cs="Gadug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Gadugi" w:eastAsia="Gadugi" w:hAnsi="Gadugi" w:cs="Gadug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Seguindo o Voto exarado pela Relatora e conforme determina o artigo 35, a Comissão de Justiça e Redação formaliza o presente </w:t>
      </w:r>
      <w:r w:rsidRPr="00000000"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PARECER FAVORÁVEL</w:t>
      </w:r>
      <w:r w:rsidRPr="00000000">
        <w:rPr>
          <w:rFonts w:ascii="Gadugi" w:eastAsia="Gadugi" w:hAnsi="Gadugi" w:cs="Gadug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.</w:t>
      </w:r>
    </w:p>
    <w:p w:rsidR="00000000" w:rsidRPr="00000000" w:rsidP="00000000" w14:paraId="0000003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3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RPr="00000000">
        <w:rPr>
          <w:rFonts w:ascii="Gadugi" w:eastAsia="Gadugi" w:hAnsi="Gadugi" w:cs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Sala das Comissões, em </w:t>
      </w:r>
      <w:r w:rsidRPr="00000000">
        <w:rPr>
          <w:rFonts w:ascii="Gadugi" w:eastAsia="Gadugi" w:hAnsi="Gadugi" w:cs="Gadugi"/>
          <w:sz w:val="24"/>
          <w:szCs w:val="24"/>
          <w:highlight w:val="white"/>
          <w:rtl w:val="0"/>
        </w:rPr>
        <w:t>2</w:t>
      </w:r>
      <w:r w:rsidRPr="00000000">
        <w:rPr>
          <w:rFonts w:ascii="Gadugi" w:eastAsia="Gadugi" w:hAnsi="Gadugi" w:cs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3 de </w:t>
      </w:r>
      <w:r w:rsidRPr="00000000">
        <w:rPr>
          <w:rFonts w:ascii="Gadugi" w:eastAsia="Gadugi" w:hAnsi="Gadugi" w:cs="Gadugi"/>
          <w:sz w:val="24"/>
          <w:szCs w:val="24"/>
          <w:highlight w:val="white"/>
          <w:rtl w:val="0"/>
        </w:rPr>
        <w:t xml:space="preserve">junho </w:t>
      </w:r>
      <w:r w:rsidRPr="00000000">
        <w:rPr>
          <w:rFonts w:ascii="Gadugi" w:eastAsia="Gadugi" w:hAnsi="Gadugi" w:cs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>de 2022.</w:t>
      </w:r>
    </w:p>
    <w:p w:rsidR="00000000" w:rsidRPr="00000000" w:rsidP="00000000" w14:paraId="0000003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</w:rPr>
      </w:pPr>
    </w:p>
    <w:p w:rsidR="00000000" w:rsidRPr="00000000" w:rsidP="00000000" w14:paraId="0000003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</w:rPr>
      </w:pPr>
    </w:p>
    <w:p w:rsidR="00000000" w:rsidRPr="00000000" w:rsidP="00000000" w14:paraId="0000003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</w:rPr>
      </w:pPr>
      <w:r w:rsidRPr="00000000">
        <w:rPr>
          <w:rFonts w:ascii="Gadugi" w:eastAsia="Gadugi" w:hAnsi="Gadugi" w:cs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  <w:rtl w:val="0"/>
        </w:rPr>
        <w:t>COMISSÃO DE JUSTIÇA E REDAÇÃO</w:t>
      </w:r>
    </w:p>
    <w:p w:rsidR="00000000" w:rsidRPr="00000000" w:rsidP="00000000" w14:paraId="0000003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</w:p>
    <w:p w:rsidR="00000000" w:rsidRPr="00000000" w:rsidP="00000000" w14:paraId="0000003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</w:p>
    <w:p w:rsidR="00000000" w:rsidRPr="00000000" w:rsidP="00000000" w14:paraId="0000003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sz w:val="24"/>
          <w:szCs w:val="24"/>
          <w:highlight w:val="white"/>
        </w:rPr>
      </w:pPr>
    </w:p>
    <w:p w:rsidR="00000000" w:rsidRPr="00000000" w:rsidP="00000000" w14:paraId="0000003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sz w:val="24"/>
          <w:szCs w:val="24"/>
          <w:highlight w:val="white"/>
        </w:rPr>
      </w:pPr>
    </w:p>
    <w:p w:rsidR="00000000" w:rsidRPr="00000000" w:rsidP="00000000" w14:paraId="0000003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sz w:val="24"/>
          <w:szCs w:val="24"/>
          <w:highlight w:val="white"/>
        </w:rPr>
      </w:pPr>
    </w:p>
    <w:p w:rsidR="00000000" w:rsidRPr="00000000" w:rsidP="00000000" w14:paraId="0000003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sz w:val="24"/>
          <w:szCs w:val="24"/>
          <w:highlight w:val="white"/>
        </w:rPr>
      </w:pPr>
    </w:p>
    <w:p w:rsidR="00000000" w:rsidRPr="00000000" w:rsidP="00000000" w14:paraId="0000004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sz w:val="24"/>
          <w:szCs w:val="24"/>
          <w:highlight w:val="white"/>
        </w:rPr>
      </w:pPr>
    </w:p>
    <w:p w:rsidR="00000000" w:rsidRPr="00000000" w:rsidP="00000000" w14:paraId="0000004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RPr="00000000"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>VEREADOR JOÃO VICTOR GASPARINI</w:t>
      </w:r>
    </w:p>
    <w:p w:rsidR="00000000" w:rsidRPr="00000000" w:rsidP="00000000" w14:paraId="0000004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RPr="00000000"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>PRESIDENTE</w:t>
      </w:r>
      <w:r w:rsidRPr="00000000">
        <w:rPr>
          <w:rFonts w:ascii="Gadugi" w:eastAsia="Gadugi" w:hAnsi="Gadugi" w:cs="Gadugi"/>
          <w:b/>
          <w:sz w:val="24"/>
          <w:szCs w:val="24"/>
          <w:highlight w:val="white"/>
          <w:rtl w:val="0"/>
        </w:rPr>
        <w:t xml:space="preserve"> / RELATOR</w:t>
      </w:r>
    </w:p>
    <w:p w:rsidR="00000000" w:rsidRPr="00000000" w:rsidP="00000000" w14:paraId="0000004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Gadugi" w:eastAsia="Gadugi" w:hAnsi="Gadugi" w:cs="Gadugi"/>
          <w:b/>
          <w:sz w:val="24"/>
          <w:szCs w:val="24"/>
          <w:highlight w:val="white"/>
        </w:rPr>
      </w:pPr>
    </w:p>
    <w:p w:rsidR="00000000" w:rsidRPr="00000000" w:rsidP="00000000" w14:paraId="0000004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Gadugi" w:eastAsia="Gadugi" w:hAnsi="Gadugi" w:cs="Gadugi"/>
          <w:b/>
          <w:sz w:val="24"/>
          <w:szCs w:val="24"/>
          <w:highlight w:val="white"/>
        </w:rPr>
      </w:pPr>
    </w:p>
    <w:p w:rsidR="00000000" w:rsidRPr="00000000" w:rsidP="00000000" w14:paraId="0000004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Gadugi" w:eastAsia="Gadugi" w:hAnsi="Gadugi" w:cs="Gadugi"/>
          <w:b/>
          <w:sz w:val="24"/>
          <w:szCs w:val="24"/>
          <w:highlight w:val="white"/>
        </w:rPr>
      </w:pPr>
    </w:p>
    <w:p w:rsidR="00000000" w:rsidRPr="00000000" w:rsidP="00000000" w14:paraId="0000004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Gadugi" w:eastAsia="Gadugi" w:hAnsi="Gadugi" w:cs="Gadugi"/>
          <w:b/>
          <w:sz w:val="24"/>
          <w:szCs w:val="24"/>
          <w:highlight w:val="white"/>
        </w:rPr>
      </w:pPr>
    </w:p>
    <w:p w:rsidR="00000000" w:rsidRPr="00000000" w:rsidP="00000000" w14:paraId="0000004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Gadugi" w:eastAsia="Gadugi" w:hAnsi="Gadugi" w:cs="Gadugi"/>
          <w:b/>
          <w:sz w:val="24"/>
          <w:szCs w:val="24"/>
          <w:highlight w:val="white"/>
        </w:rPr>
      </w:pPr>
    </w:p>
    <w:p w:rsidR="00000000" w:rsidRPr="00000000" w:rsidP="00000000" w14:paraId="0000004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</w:p>
    <w:p w:rsidR="00000000" w:rsidRPr="00000000" w:rsidP="00000000" w14:paraId="0000004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</w:p>
    <w:p w:rsidR="00000000" w:rsidRPr="00000000" w:rsidP="00000000" w14:paraId="0000004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RPr="00000000"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>VEREADORA MARA CRISTINA CHOQUETTA</w:t>
      </w:r>
    </w:p>
    <w:p w:rsidR="00000000" w:rsidRPr="00000000" w:rsidP="00000000" w14:paraId="0000004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RPr="00000000"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>VICE - PRESIDENTE</w:t>
      </w:r>
    </w:p>
    <w:p w:rsidR="00000000" w:rsidRPr="00000000" w:rsidP="00000000" w14:paraId="0000004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b/>
          <w:sz w:val="24"/>
          <w:szCs w:val="24"/>
          <w:highlight w:val="white"/>
        </w:rPr>
      </w:pPr>
    </w:p>
    <w:p w:rsidR="00000000" w:rsidRPr="00000000" w:rsidP="00000000" w14:paraId="0000004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b/>
          <w:sz w:val="24"/>
          <w:szCs w:val="24"/>
          <w:highlight w:val="white"/>
        </w:rPr>
      </w:pPr>
    </w:p>
    <w:p w:rsidR="00000000" w:rsidRPr="00000000" w:rsidP="00000000" w14:paraId="0000004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b/>
          <w:sz w:val="24"/>
          <w:szCs w:val="24"/>
          <w:highlight w:val="white"/>
        </w:rPr>
      </w:pPr>
    </w:p>
    <w:p w:rsidR="00000000" w:rsidRPr="00000000" w:rsidP="00000000" w14:paraId="0000004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b/>
          <w:sz w:val="24"/>
          <w:szCs w:val="24"/>
          <w:highlight w:val="white"/>
        </w:rPr>
      </w:pPr>
    </w:p>
    <w:p w:rsidR="00000000" w:rsidRPr="00000000" w:rsidP="00000000" w14:paraId="0000005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b/>
          <w:sz w:val="24"/>
          <w:szCs w:val="24"/>
          <w:highlight w:val="white"/>
        </w:rPr>
      </w:pPr>
    </w:p>
    <w:p w:rsidR="00000000" w:rsidRPr="00000000" w:rsidP="00000000" w14:paraId="0000005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</w:p>
    <w:p w:rsidR="00000000" w:rsidRPr="00000000" w:rsidP="00000000" w14:paraId="0000005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</w:p>
    <w:p w:rsidR="00000000" w:rsidRPr="00000000" w:rsidP="00000000" w14:paraId="0000005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RPr="00000000"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>VEREADORA  LÚCIA MARIA TENÓRIO</w:t>
      </w:r>
    </w:p>
    <w:p w:rsidR="00000000" w:rsidRPr="00000000" w:rsidP="00000000" w14:paraId="0000005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>MEMBRO</w:t>
      </w:r>
    </w:p>
    <w:p w:rsidR="00000000" w:rsidRPr="00000000" w:rsidP="00000000" w14:paraId="0000005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right"/>
      </w:pPr>
    </w:p>
    <w:p w:rsidR="00000000" w:rsidRPr="00000000" w:rsidP="00000000" w14:paraId="0000005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right"/>
      </w:pPr>
    </w:p>
    <w:p w:rsidR="00000000" w:rsidRPr="00000000" w:rsidP="00000000" w14:paraId="0000005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right"/>
      </w:pPr>
    </w:p>
    <w:p w:rsidR="00000000" w:rsidRPr="00000000" w:rsidP="00000000" w14:paraId="0000005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right"/>
      </w:pPr>
    </w:p>
    <w:p w:rsidR="00000000" w:rsidRPr="00000000" w:rsidP="00000000" w14:paraId="0000005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Gadugi" w:eastAsia="Gadugi" w:hAnsi="Gadugi" w:cs="Gadug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 w:orient="portrait"/>
      <w:pgMar w:top="2268" w:right="1321" w:bottom="182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Calibri">
    <w:charset w:val="00"/>
    <w:family w:val="auto"/>
    <w:pitch w:val="default"/>
  </w:font>
  <w:font w:name="Gadugi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C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5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A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38225" cy="752475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3126188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  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5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650406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  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5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