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80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117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2022.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8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Conforme determina os artigos 35 e 39 combinados com o artigo 45 da Resolução 276 de 09 de novembro de 2010 – Regimento Interno da Câmara Municipal, a Comissão Permanente de Justiça e Redação conjuntamente com a Comissão Permanente de Educação, Saúde, Cultura, Esportes e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Assistência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Social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emitem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o presente Relatório acerca do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80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de autoria do Exmo.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Sr. Prefeito Municipal, sob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a relatoria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do Vereador João Victor  Gasparini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.</w:t>
      </w:r>
    </w:p>
    <w:p w:rsidR="00000000" w:rsidRPr="00000000" w:rsidP="00000000" w14:paraId="00000009">
      <w:pPr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000000" w:rsidRPr="00000000" w:rsidP="00000000" w14:paraId="0000000A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D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O Excelentíssimo Senhor Prefeito Dr. Paulo de Oliveira e Silva encaminha a esta Casa de Leis o Projeto de Lei n.º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80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/2022, que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Dispõe sobre a doação de instrumentos musicais à Escola de Capoeira ‘Legado da Capoeira’, e dá outras providências".</w:t>
      </w:r>
    </w:p>
    <w:p w:rsidR="00000000" w:rsidRPr="00000000" w:rsidP="00000000" w14:paraId="0000000E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ab/>
      </w:r>
    </w:p>
    <w:p w:rsidR="00000000" w:rsidRPr="00000000" w:rsidP="00000000" w14:paraId="0000000F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 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O Projeto de Lei em análise visa doar para a entidade três instrumentos musicais de patrimônio da Prefeitura Municipal, justificando que a Secretaria de Esportes e Lazer não possui atividades voltadas à capoeira, fazendo com que os equipamentos fiquem ociosos e passíveis de deterioração. Com isso, os instrumentos terão melhor emprego para o interesse social, principalmente na região do Horto do Vergel, onde está localizada a escola.    </w:t>
      </w:r>
    </w:p>
    <w:p w:rsidR="00000000" w:rsidRPr="00000000" w:rsidP="00000000" w14:paraId="00000010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3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4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>Em análise técnica da matéria, encontramos algumas considerações e apontamentos com relação ao projeto, no qual discorreremos neste relatório.</w:t>
      </w:r>
    </w:p>
    <w:p w:rsidR="00000000" w:rsidRPr="00000000" w:rsidP="00000000" w14:paraId="00000015">
      <w:pPr>
        <w:ind w:lef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6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Inicialmente, cumpre destacar que a Escola de Capoeira sujeita a receber a doação, na verdade tem o nome de “Legado da Capoeiragem”, e tem como responsável o Senhor Walter Emmanuel Teixeira, tendo as suas informações dispostas no artigo 1° do Projeto em análise. </w:t>
      </w:r>
    </w:p>
    <w:p w:rsidR="00000000" w:rsidRPr="00000000" w:rsidP="00000000" w14:paraId="00000017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8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Na Ementa e artigos do Projeto de Lei em epígrafe o nome da Escola consta, de forma equivocada, como “Legado da Capoeira”. A comissão propôs emenda modificativa para readequar corretamente o nome da Escola de Capoeira.</w:t>
      </w:r>
    </w:p>
    <w:p w:rsidR="00000000" w:rsidRPr="00000000" w:rsidP="00000000" w14:paraId="0000001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ab/>
      </w:r>
    </w:p>
    <w:p w:rsidR="00000000" w:rsidRPr="00000000" w:rsidP="00000000" w14:paraId="0000001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Com relação à constitucionalidade do projeto, entendemos que o assunto se enquadra nas competências legislativas do Município, conforme determina o artigo 30, inciso I da Constituição Federal:</w:t>
      </w:r>
    </w:p>
    <w:p w:rsidR="00000000" w:rsidRPr="00000000" w:rsidP="00000000" w14:paraId="0000001B">
      <w:pPr>
        <w:shd w:val="clear" w:color="auto" w:fill="FFFFFF"/>
        <w:spacing w:before="200" w:after="200"/>
        <w:ind w:left="360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C">
      <w:pPr>
        <w:shd w:val="clear" w:color="auto" w:fill="FFFFFF"/>
        <w:spacing w:before="200" w:after="200"/>
        <w:ind w:left="360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D">
      <w:pPr>
        <w:shd w:val="clear" w:color="auto" w:fill="FFFFFF"/>
        <w:spacing w:before="240" w:after="24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Já no tocante à legalidade do projeto, a Lei Federal n.º 8.666/93 dispõe sobre a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regulamentação do art. 37, inciso XXI, da Constituição Federal, instituindo normas para licitações e contratos da Administração Pública e dá outras providências, no seu artigo 17  disciplina a alienação de bens da Administração Pública. O inciso II do referido artigo 17 dispõe sobre a doação de móveis, dispensada a licitação nos casos de: </w:t>
      </w:r>
    </w:p>
    <w:p w:rsidR="00000000" w:rsidRPr="00000000" w:rsidP="00000000" w14:paraId="0000001E">
      <w:pPr>
        <w:shd w:val="clear" w:color="auto" w:fill="FFFFFF"/>
        <w:spacing w:before="240" w:after="240"/>
        <w:ind w:left="3600" w:firstLine="72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 xml:space="preserve">“Art. 17. </w:t>
      </w: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 xml:space="preserve"> A alienação de bens da Administração Pública, subordinada à existência de interesse público devidamente justificado, será precedida de avaliação e obedecerá às seguintes normas: (...)</w:t>
      </w:r>
    </w:p>
    <w:p w:rsidR="00000000" w:rsidRPr="00000000" w:rsidP="00000000" w14:paraId="0000001F">
      <w:pPr>
        <w:shd w:val="clear" w:color="auto" w:fill="FFFFFF"/>
        <w:spacing w:before="240" w:after="240"/>
        <w:ind w:left="3600" w:firstLine="46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II - quando móveis, dependerá de avaliação prévia e de licitação, dispensada esta nos seguintes casos:</w:t>
      </w:r>
    </w:p>
    <w:p w:rsidR="00000000" w:rsidRPr="00000000" w:rsidP="00000000" w14:paraId="00000020">
      <w:pPr>
        <w:shd w:val="clear" w:color="auto" w:fill="FFFFFF"/>
        <w:spacing w:before="240" w:after="240"/>
        <w:ind w:left="3600" w:firstLine="46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a) doação, permitida exclusivamente para fins e uso de interesse social, após avaliação de sua oportunidade e conveniência sócio-econômica, relativamente à escolha de outra forma de alienação;”</w:t>
      </w:r>
    </w:p>
    <w:p w:rsidR="00000000" w:rsidRPr="00000000" w:rsidP="00000000" w14:paraId="00000021">
      <w:pPr>
        <w:shd w:val="clear" w:color="auto" w:fill="FFFFFF"/>
        <w:spacing w:before="240" w:after="240"/>
        <w:ind w:left="0" w:firstLine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ab/>
        <w:t xml:space="preserve">Neste sentido, a Lei Orgânica do Município de Mogi Mirim delega, em seu artigo 112, sobre a alienação de bens municipais subordinada à existência de interesse público. Ademais, o inciso II do referido artigo 112 da LOM dispõe sobre a dispensa de licitação na doação de móveis, </w:t>
      </w: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“exclusivamente para fins de interesse social”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. </w:t>
      </w:r>
    </w:p>
    <w:p w:rsidR="00000000" w:rsidRPr="00000000" w:rsidP="00000000" w14:paraId="00000022">
      <w:pPr>
        <w:shd w:val="clear" w:color="auto" w:fill="FFFFFF"/>
        <w:spacing w:before="240" w:after="240"/>
        <w:ind w:left="0" w:firstLine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ab/>
        <w:t>A doação que trata o Projeto de Lei em análise será utilizada para a execução de projetos culturais e esportivos para crianças e adolescentes em situação de vulnerabilidade social, e, caso seja constatado desvio de finalidade dos equipamentos doados, esta Lei será revogada ocasionando na devolução desses equipamentos.</w:t>
      </w:r>
    </w:p>
    <w:p w:rsidR="00000000" w:rsidRPr="00000000" w:rsidP="00000000" w14:paraId="00000023">
      <w:pPr>
        <w:shd w:val="clear" w:color="auto" w:fill="FFFFFF"/>
        <w:spacing w:before="240" w:after="240"/>
        <w:ind w:left="0" w:firstLine="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ab/>
        <w:t xml:space="preserve">Cumpre informar que a Comissão de Justiça e Redação solicitou à 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SPG - Soluções em Gestão Pública - análise jurídica sobre a matéria em estudo,originando a CONSULTA/0249/2022/MN/G, anexa ao processo legislativo do Projeto de Lei em análise, onde consta a inexistência de óbice oponível ou qualquer ilicitude na figuração de uma pessoa física a receber doação de bens públicos, desde que justificado o interesse social. </w:t>
      </w:r>
    </w:p>
    <w:p w:rsidR="00000000" w:rsidRPr="00000000" w:rsidP="00000000" w14:paraId="00000024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Dessa forma, esta Comissão de Justiça e Redação considera que no aspecto constitucional, legal e regimental, denota-se que o presente projeto não apresenta conflitos junto ao ordenamento jurídico vigente, não havendo vícios de inconstitucionalidade, justificado o interesse social no pleito do Projeto de Lei em estudo.</w:t>
      </w:r>
    </w:p>
    <w:p w:rsidR="00000000" w:rsidRPr="00000000" w:rsidP="00000000" w14:paraId="0000002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6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7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8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9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  <w:t xml:space="preserve">O Relator propõe uma emenda modificativa para adequar a redação do Projeto de Lei sob análise, para dar a nomeação correta ao Projeto </w:t>
      </w: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“Legado da Capoeiragem”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.</w:t>
      </w:r>
    </w:p>
    <w:p w:rsidR="00000000" w:rsidRPr="00000000" w:rsidP="00000000" w14:paraId="0000002A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B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IV. Decisão do Relator.</w:t>
      </w:r>
    </w:p>
    <w:p w:rsidR="00000000" w:rsidRPr="00000000" w:rsidP="00000000" w14:paraId="0000002C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2D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Portanto, diante do exposto, esta relatoria considera que a presente propositura não apresenta irregularidades, recebendo assim parecer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FAVORÁVEL.</w:t>
      </w:r>
    </w:p>
    <w:p w:rsidR="00000000" w:rsidRPr="00000000" w:rsidP="00000000" w14:paraId="0000002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1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2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3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3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E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F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N.º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/2022 DA COMISSÃO DE JUSTIÇA E REDAÇÃO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.</w:t>
      </w:r>
    </w:p>
    <w:p w:rsidR="00000000" w:rsidRPr="00000000" w:rsidP="00000000" w14:paraId="00000040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1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Seguindo o Voto exarado pelo Relator e conforme determina o artigo 35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 e 39 combinados com o artigo 45 da Resolução n° 276 de 09 de novembro de 2010 a Comissão de Justiça e Redação, conjuntamente com a Comissão de Educação, Saúde, Cultura, Esporte e Assistência Social formalizam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o presente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PARECER FAVORÁVEL 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ao Projeto de Lei n° 80 de 2022.</w:t>
      </w:r>
    </w:p>
    <w:p w:rsidR="00000000" w:rsidRPr="00000000" w:rsidP="00000000" w14:paraId="00000042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3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15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 de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 Junho 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de 2022.</w:t>
      </w:r>
    </w:p>
    <w:p w:rsidR="00000000" w:rsidRPr="00000000" w:rsidP="00000000" w14:paraId="00000044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5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46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47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8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9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4A">
      <w:pPr>
        <w:jc w:val="center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Presidente /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Relator</w:t>
      </w:r>
    </w:p>
    <w:p w:rsidR="00000000" w:rsidRPr="00000000" w:rsidP="00000000" w14:paraId="0000004B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C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D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E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4F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0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1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2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53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54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5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6">
      <w:pPr>
        <w:spacing w:before="0" w:after="0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7">
      <w:pPr>
        <w:spacing w:before="0" w:after="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8">
      <w:pPr>
        <w:spacing w:before="0" w:after="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9">
      <w:pPr>
        <w:spacing w:before="0" w:after="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A">
      <w:pPr>
        <w:spacing w:before="0" w:after="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p w:rsidR="00000000" w:rsidRPr="00000000" w:rsidP="00000000" w14:paraId="0000005B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  <w:r w:rsidRPr="00000000">
        <w:rPr>
          <w:rFonts w:ascii="Calibri" w:eastAsia="Calibri" w:hAnsi="Calibri" w:cs="Calibri"/>
          <w:b/>
          <w:sz w:val="26"/>
          <w:szCs w:val="26"/>
          <w:u w:val="single"/>
          <w:rtl w:val="0"/>
        </w:rPr>
        <w:t>COMISSÃO DE EDUCAÇÃO, SAÚDE, CULTURA, ESPORTE E ASSISTÊNCIA SOCIAL</w:t>
      </w:r>
    </w:p>
    <w:p w:rsidR="00000000" w:rsidRPr="00000000" w:rsidP="00000000" w14:paraId="0000005C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D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E">
      <w:pPr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5F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0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1">
      <w:pPr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000000" w:rsidRPr="00000000" w:rsidP="00000000" w14:paraId="00000062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63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Presidente</w:t>
      </w:r>
    </w:p>
    <w:p w:rsidR="00000000" w:rsidRPr="00000000" w:rsidP="00000000" w14:paraId="00000064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5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6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7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8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9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A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VEREADORA LÚCIA MARIA FERREIRA TENÓRIO</w:t>
      </w:r>
    </w:p>
    <w:p w:rsidR="00000000" w:rsidRPr="00000000" w:rsidP="00000000" w14:paraId="0000006B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Vice-Presidente</w:t>
      </w:r>
    </w:p>
    <w:p w:rsidR="00000000" w:rsidRPr="00000000" w:rsidP="00000000" w14:paraId="0000006C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D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E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6F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0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1">
      <w:pPr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72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73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Membro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</w:p>
    <w:p w:rsidR="00000000" w:rsidRPr="00000000" w:rsidP="00000000" w14:paraId="00000074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7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7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535118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7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