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Relatório  </w:t>
      </w:r>
    </w:p>
    <w:p>
      <w:pPr>
        <w:spacing w:before="0" w:after="240"/>
        <w:rPr>
          <w:color w:val="5983B0"/>
          <w:sz w:val="24"/>
          <w:szCs w:val="24"/>
        </w:rPr>
      </w:pPr>
    </w:p>
    <w:p>
      <w:pPr>
        <w:spacing w:before="0" w:after="240"/>
      </w:pPr>
      <w:r>
        <w:rPr>
          <w:rFonts w:ascii="Arial" w:hAnsi="Arial" w:cs="Arial"/>
          <w:b/>
          <w:bCs/>
          <w:sz w:val="24"/>
          <w:szCs w:val="24"/>
        </w:rPr>
        <w:t>Projeto de Lei nº 18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/2021</w:t>
      </w:r>
    </w:p>
    <w:p>
      <w:pPr>
        <w:jc w:val="both"/>
      </w:pPr>
      <w:r>
        <w:rPr>
          <w:rFonts w:ascii="Calibri" w:hAnsi="Calibri" w:cs="Calibri"/>
          <w:sz w:val="26"/>
          <w:szCs w:val="26"/>
        </w:rPr>
        <w:t> </w:t>
      </w:r>
      <w:r>
        <w:rPr>
          <w:rFonts w:ascii="Calibri" w:hAnsi="Calibri" w:cs="Calibri"/>
          <w:sz w:val="26"/>
          <w:szCs w:val="26"/>
        </w:rPr>
        <w:tab/>
        <w:t xml:space="preserve"> </w:t>
        <w:tab/>
        <w:t>Conforme determina o artigo 35 do Regimento Interno da Câmara Municipal, a Comissão Permanente de Justiça e Redação emite o presente Relatório acerca do Projeto de Lei nº 181/2021, de autoria do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 w:val="0"/>
          <w:bCs w:val="0"/>
          <w:sz w:val="26"/>
          <w:szCs w:val="26"/>
        </w:rPr>
        <w:t>Vereador</w:t>
      </w:r>
      <w:r>
        <w:rPr>
          <w:rFonts w:ascii="Calibri" w:hAnsi="Calibri" w:cs="Calibri"/>
          <w:b/>
          <w:bCs/>
          <w:sz w:val="26"/>
          <w:szCs w:val="26"/>
        </w:rPr>
        <w:t xml:space="preserve"> Orivaldo Aparecido Magalhães.</w:t>
      </w:r>
    </w:p>
    <w:p>
      <w:pPr>
        <w:jc w:val="both"/>
        <w:rPr>
          <w:color w:val="5983B0"/>
        </w:rPr>
      </w:pPr>
    </w:p>
    <w:p>
      <w:pPr>
        <w:jc w:val="both"/>
        <w:rPr>
          <w:color w:val="5983B0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ind w:left="1080" w:right="0" w:hanging="720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Exposição da Matéria</w:t>
      </w:r>
    </w:p>
    <w:p>
      <w:pPr>
        <w:pStyle w:val="ListParagraph"/>
        <w:ind w:left="1080" w:right="0" w:firstLine="0"/>
        <w:jc w:val="both"/>
        <w:rPr>
          <w:sz w:val="24"/>
          <w:szCs w:val="24"/>
        </w:rPr>
      </w:pPr>
    </w:p>
    <w:p>
      <w:pPr>
        <w:ind w:left="0" w:right="0" w:firstLine="709"/>
        <w:jc w:val="both"/>
      </w:pPr>
      <w:r>
        <w:rPr>
          <w:rFonts w:ascii="Calibri" w:hAnsi="Calibri" w:cs="Calibri"/>
          <w:sz w:val="26"/>
          <w:szCs w:val="26"/>
        </w:rPr>
        <w:t> </w:t>
      </w:r>
      <w:r>
        <w:rPr>
          <w:rFonts w:ascii="Calibri" w:hAnsi="Calibri" w:cs="Calibri"/>
          <w:sz w:val="26"/>
          <w:szCs w:val="26"/>
        </w:rPr>
        <w:tab/>
        <w:t xml:space="preserve">O </w:t>
      </w:r>
      <w:r>
        <w:rPr>
          <w:rFonts w:ascii="Calibri" w:hAnsi="Calibri" w:cs="Calibri"/>
          <w:b w:val="0"/>
          <w:bCs w:val="0"/>
          <w:sz w:val="26"/>
          <w:szCs w:val="26"/>
        </w:rPr>
        <w:t>vereador Orivaldo Aparecido Magalhães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apresenta a esta Casa o Projeto de Lei nº 181/2021 para emissão de parecer, o qual </w:t>
      </w:r>
      <w:r>
        <w:rPr>
          <w:rFonts w:ascii="Calibri" w:hAnsi="Calibri" w:cs="Calibri"/>
          <w:b/>
          <w:bCs/>
          <w:sz w:val="26"/>
          <w:szCs w:val="26"/>
        </w:rPr>
        <w:t>“Assegura às pessoas portadoras de albinismo o exercício a direitos básicos nas áreas de educação, saúde e trabalho no Município, e dá outras providências”</w:t>
      </w:r>
    </w:p>
    <w:p>
      <w:p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sz w:val="26"/>
          <w:szCs w:val="26"/>
        </w:rPr>
        <w:tab/>
      </w:r>
    </w:p>
    <w:p>
      <w:pPr>
        <w:ind w:left="0" w:right="0" w:firstLine="709"/>
        <w:jc w:val="both"/>
        <w:rPr>
          <w:rFonts w:ascii="Calibri" w:hAnsi="Calibri" w:cs="Calibri"/>
          <w:color w:val="5983B0"/>
          <w:sz w:val="26"/>
          <w:szCs w:val="26"/>
        </w:rPr>
      </w:pPr>
      <w:r>
        <w:rPr>
          <w:rFonts w:ascii="Calibri" w:hAnsi="Calibri" w:cs="Calibri"/>
          <w:color w:val="5983B0"/>
          <w:sz w:val="26"/>
          <w:szCs w:val="26"/>
        </w:rPr>
        <w:t> </w:t>
      </w:r>
    </w:p>
    <w:p>
      <w:pPr>
        <w:jc w:val="both"/>
      </w:pPr>
      <w:r>
        <w:rPr>
          <w:rFonts w:ascii="Calibri" w:hAnsi="Calibri" w:cs="Calibri"/>
          <w:b/>
          <w:bCs/>
          <w:sz w:val="26"/>
          <w:szCs w:val="26"/>
        </w:rPr>
        <w:t>II. Do mérito e conclusões do relator</w:t>
      </w:r>
      <w:r>
        <w:rPr>
          <w:rFonts w:ascii="Calibri" w:hAnsi="Calibri" w:cs="Calibri"/>
          <w:sz w:val="26"/>
          <w:szCs w:val="26"/>
        </w:rPr>
        <w:t> </w:t>
      </w:r>
    </w:p>
    <w:p>
      <w:pPr>
        <w:rPr>
          <w:color w:val="5983B0"/>
          <w:sz w:val="24"/>
          <w:szCs w:val="24"/>
        </w:rPr>
      </w:pPr>
    </w:p>
    <w:p>
      <w:pPr>
        <w:ind w:left="0" w:right="0" w:firstLine="709"/>
        <w:jc w:val="both"/>
      </w:pPr>
      <w:r>
        <w:rPr>
          <w:rFonts w:ascii="Calibri" w:hAnsi="Calibri" w:cs="Calibri"/>
          <w:color w:val="5983B0"/>
          <w:sz w:val="26"/>
          <w:szCs w:val="26"/>
        </w:rPr>
        <w:t> </w:t>
      </w:r>
      <w:r>
        <w:rPr>
          <w:rFonts w:ascii="Calibri" w:hAnsi="Calibri" w:cs="Calibri"/>
          <w:color w:val="5983B0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Inicialmente, cabe destacar que esta Comissão Permanente de Justiça e Redação solicitou parecer técnico-jurídico à SGP (Soluções em Gestão Pública), que presta assessoria à Câmara Municipal, sobre o projeto ora em análise.</w:t>
      </w:r>
    </w:p>
    <w:p>
      <w:pPr>
        <w:ind w:left="0" w:right="0" w:firstLine="709"/>
        <w:jc w:val="both"/>
        <w:rPr>
          <w:rFonts w:ascii="Calibri" w:hAnsi="Calibri" w:cs="Calibri"/>
          <w:sz w:val="26"/>
          <w:szCs w:val="26"/>
        </w:rPr>
      </w:pPr>
    </w:p>
    <w:p>
      <w:pPr>
        <w:ind w:left="0" w:right="0" w:firstLine="709"/>
        <w:jc w:val="both"/>
      </w:pPr>
      <w:r>
        <w:rPr>
          <w:rFonts w:ascii="Calibri" w:hAnsi="Calibri" w:cs="Calibri"/>
          <w:sz w:val="26"/>
          <w:szCs w:val="26"/>
        </w:rPr>
        <w:tab/>
        <w:t xml:space="preserve">O órgão consultor apontou vício de constitucionalidade material, com o fundamento de que a referida matéria, que trata sobre o albinismo, já recebeu tratamento na esfera nacional e que por isso estaria prejudicado o exercício da competência legislativa municipal de suplementar. A SGP aponta, ainda, que o artigo segundo do projeto de lei cria atribuições a órgãos da Administração Municipal e que por isso seria competência do Executivo. </w:t>
      </w:r>
    </w:p>
    <w:p>
      <w:pPr>
        <w:ind w:left="0" w:right="0" w:firstLine="709"/>
        <w:jc w:val="both"/>
        <w:rPr>
          <w:rFonts w:ascii="Calibri" w:hAnsi="Calibri" w:cs="Calibri"/>
          <w:sz w:val="26"/>
          <w:szCs w:val="26"/>
        </w:rPr>
      </w:pPr>
    </w:p>
    <w:p>
      <w:pPr>
        <w:ind w:left="0" w:right="0" w:firstLine="709"/>
        <w:jc w:val="both"/>
      </w:pPr>
      <w:r>
        <w:rPr>
          <w:rFonts w:ascii="Calibri" w:hAnsi="Calibri" w:cs="Calibri"/>
          <w:sz w:val="26"/>
          <w:szCs w:val="26"/>
        </w:rPr>
        <w:tab/>
        <w:t xml:space="preserve">Diante de tais apontamentos, o vereador autor da propositura foi acionado acerca dos apontamentos da SGP e este emitiu justificativas a pedido desta Comissão sobre o projeto de lei 181/2021. Foram refutadas as teses de que haveria vício de constitucionalidade, uma vez que a matéria já recebeu tratamento na esfera nacional. O </w:t>
      </w:r>
      <w:r>
        <w:rPr>
          <w:rFonts w:ascii="Calibri" w:hAnsi="Calibri" w:cs="Calibri"/>
          <w:b w:val="0"/>
          <w:bCs w:val="0"/>
          <w:sz w:val="26"/>
          <w:szCs w:val="26"/>
        </w:rPr>
        <w:t>vereador Orivaldo Aparecido Magalhães</w:t>
      </w:r>
      <w:r>
        <w:rPr>
          <w:rFonts w:ascii="Calibri" w:hAnsi="Calibri" w:cs="Calibri"/>
          <w:sz w:val="26"/>
          <w:szCs w:val="26"/>
        </w:rPr>
        <w:t xml:space="preserve">, segundo documento nº 243 de 2021 apresentado à Comissão de Justiça e Redação, é enfático ao apontar que </w:t>
      </w:r>
      <w:r>
        <w:rPr>
          <w:rFonts w:ascii="Calibri" w:hAnsi="Calibri" w:cs="Calibri"/>
          <w:sz w:val="26"/>
          <w:szCs w:val="26"/>
          <w:u w:val="single"/>
        </w:rPr>
        <w:t xml:space="preserve">“é de suma relevância destacar que o projeto de lei 181 de 2021 não trata de pessoas com deficiência de visão, mas sim de pessoas com albinismo. </w:t>
      </w:r>
    </w:p>
    <w:p>
      <w:pPr>
        <w:ind w:left="0" w:right="0" w:firstLine="709"/>
        <w:jc w:val="both"/>
        <w:rPr>
          <w:rFonts w:ascii="Calibri" w:hAnsi="Calibri" w:cs="Calibri"/>
          <w:sz w:val="26"/>
          <w:szCs w:val="26"/>
          <w:u w:val="single"/>
        </w:rPr>
      </w:pPr>
    </w:p>
    <w:p>
      <w:pPr>
        <w:ind w:left="0" w:right="0" w:firstLine="709"/>
        <w:jc w:val="both"/>
      </w:pPr>
      <w:r>
        <w:rPr>
          <w:rFonts w:ascii="Calibri" w:hAnsi="Calibri" w:cs="Calibri"/>
          <w:sz w:val="26"/>
          <w:szCs w:val="26"/>
          <w:u w:val="none"/>
        </w:rPr>
        <w:t>Isso porque, o parecer da SGP coloca que o albinismo pode causar problemas de visão e que pessoas com essa deficiência já estão inseridas no rol de atividades visuais do decreto federal nº 3289 de 1999. Por tratar-se de uma condicionante, este argumento não sustentaria, por si só, a inconstitucionalidade do projeto.</w:t>
      </w:r>
    </w:p>
    <w:p>
      <w:pPr>
        <w:ind w:left="0" w:right="0" w:firstLine="709"/>
        <w:jc w:val="both"/>
        <w:rPr>
          <w:rFonts w:ascii="Calibri" w:hAnsi="Calibri" w:cs="Calibri"/>
          <w:sz w:val="26"/>
          <w:szCs w:val="26"/>
          <w:u w:val="none"/>
        </w:rPr>
      </w:pPr>
    </w:p>
    <w:p>
      <w:pPr>
        <w:ind w:left="0" w:right="0" w:firstLine="709"/>
        <w:jc w:val="both"/>
      </w:pPr>
      <w:r>
        <w:rPr>
          <w:rFonts w:ascii="Calibri" w:hAnsi="Calibri" w:cs="Calibri"/>
          <w:sz w:val="26"/>
          <w:szCs w:val="26"/>
          <w:u w:val="none"/>
        </w:rPr>
        <w:t xml:space="preserve"> </w:t>
      </w:r>
      <w:r>
        <w:rPr>
          <w:rFonts w:ascii="Calibri" w:hAnsi="Calibri" w:cs="Calibri"/>
          <w:sz w:val="26"/>
          <w:szCs w:val="26"/>
          <w:u w:val="none"/>
        </w:rPr>
        <w:t>O projeto de lei, ora em análise, também prevê atuação de forma preventiva  ao albinismo, uma vez que, quando tratada de forma adequada, de acordo com suas peculiaridades, a pessoa pode não ter qualquer problema de visão. Tal fato vai ao encontro do que está previsto no artigo 1º da Carta Magna, que trata da dignidade da pessoa humana.</w:t>
      </w:r>
    </w:p>
    <w:p>
      <w:pPr>
        <w:ind w:left="0" w:right="0" w:firstLine="709"/>
        <w:jc w:val="both"/>
        <w:rPr>
          <w:rFonts w:ascii="Calibri" w:hAnsi="Calibri" w:cs="Calibri"/>
          <w:sz w:val="26"/>
          <w:szCs w:val="26"/>
          <w:u w:val="none"/>
        </w:rPr>
      </w:pPr>
    </w:p>
    <w:p>
      <w:pPr>
        <w:ind w:left="4248" w:right="0" w:firstLine="709"/>
        <w:jc w:val="left"/>
      </w:pPr>
      <w:r>
        <w:rPr>
          <w:rFonts w:ascii="Calibri" w:hAnsi="Calibri" w:cs="Calibri"/>
          <w:sz w:val="26"/>
          <w:szCs w:val="26"/>
          <w:u w:val="none"/>
        </w:rPr>
        <w:t xml:space="preserve"> </w:t>
      </w:r>
      <w:r>
        <w:rPr>
          <w:rStyle w:val="nfaseforte"/>
          <w:rFonts w:ascii="Calibri" w:hAnsi="Calibri" w:cs="Calibri"/>
          <w:b/>
          <w:i/>
          <w:iCs/>
          <w:caps w:val="0"/>
          <w:smallCaps w:val="0"/>
          <w:spacing w:val="0"/>
          <w:sz w:val="26"/>
          <w:szCs w:val="26"/>
          <w:u w:val="none"/>
        </w:rPr>
        <w:t>Art. 1º</w:t>
      </w:r>
      <w:r>
        <w:rPr>
          <w:rFonts w:ascii="Calibri" w:hAnsi="Calibri" w:cs="Calibri"/>
          <w:b w:val="0"/>
          <w:i/>
          <w:iCs/>
          <w:caps w:val="0"/>
          <w:smallCaps w:val="0"/>
          <w:spacing w:val="0"/>
          <w:sz w:val="26"/>
          <w:szCs w:val="26"/>
          <w:u w:val="none"/>
        </w:rPr>
        <w:t> A República Federativa do Brasil, formada pela união indissolúvel dos Estados e Municípios e do Distrito Federal, constitui-se em Estado Democrático de Direito e tem como fundamentos:</w:t>
      </w:r>
    </w:p>
    <w:p>
      <w:pPr>
        <w:widowControl/>
        <w:spacing w:before="120" w:after="140"/>
        <w:ind w:left="4956" w:right="0" w:firstLine="0"/>
        <w:jc w:val="left"/>
      </w:pPr>
      <w:r>
        <w:rPr>
          <w:rStyle w:val="nfaseforte"/>
          <w:rFonts w:ascii="Calibri" w:hAnsi="Calibri"/>
          <w:b/>
          <w:i/>
          <w:iCs/>
          <w:caps w:val="0"/>
          <w:smallCaps w:val="0"/>
          <w:spacing w:val="0"/>
          <w:sz w:val="26"/>
          <w:szCs w:val="26"/>
        </w:rPr>
        <w:t>III</w:t>
      </w:r>
      <w:r>
        <w:rPr>
          <w:rFonts w:ascii="Calibri" w:hAnsi="Calibri"/>
          <w:b w:val="0"/>
          <w:i/>
          <w:iCs/>
          <w:caps w:val="0"/>
          <w:smallCaps w:val="0"/>
          <w:spacing w:val="0"/>
          <w:sz w:val="26"/>
          <w:szCs w:val="26"/>
        </w:rPr>
        <w:t> - a dignidade da pessoa humana;</w:t>
      </w:r>
    </w:p>
    <w:p>
      <w:pPr>
        <w:ind w:left="4248" w:right="0" w:firstLine="709"/>
        <w:jc w:val="left"/>
        <w:rPr>
          <w:rFonts w:ascii="Calibri" w:hAnsi="Calibri" w:cs="Calibri"/>
          <w:sz w:val="26"/>
          <w:szCs w:val="26"/>
          <w:u w:val="none"/>
        </w:rPr>
      </w:pPr>
    </w:p>
    <w:p>
      <w:pPr>
        <w:ind w:left="0" w:right="0" w:firstLine="709"/>
        <w:jc w:val="both"/>
      </w:pPr>
      <w:r>
        <w:rPr>
          <w:rFonts w:ascii="Calibri" w:hAnsi="Calibri" w:cs="Calibri"/>
          <w:sz w:val="26"/>
          <w:szCs w:val="26"/>
          <w:u w:val="none"/>
        </w:rPr>
        <w:t xml:space="preserve">   </w:t>
      </w:r>
      <w:r>
        <w:rPr>
          <w:rFonts w:ascii="Calibri" w:hAnsi="Calibri" w:cs="Calibri"/>
          <w:sz w:val="26"/>
          <w:szCs w:val="26"/>
          <w:u w:val="none"/>
        </w:rPr>
        <w:tab/>
        <w:t>N</w:t>
      </w:r>
      <w:r>
        <w:rPr>
          <w:rFonts w:ascii="Calibri" w:hAnsi="Calibri" w:cs="Calibri"/>
          <w:sz w:val="26"/>
          <w:szCs w:val="26"/>
        </w:rPr>
        <w:t xml:space="preserve">o que se refere a atribuições que a matéria delega às Secretarias Municipais, o que se verifica, na verdade, em atenção ao artigo 2º, é que o Poder Executivo, e tão só ele, é que determinará às Secretarias Municipais pertinentes a expedição de atos normativos para assegurar a garantia dos direitos elencados na lei. </w:t>
      </w:r>
    </w:p>
    <w:p>
      <w:pPr>
        <w:ind w:left="0" w:right="0" w:firstLine="709"/>
        <w:jc w:val="both"/>
        <w:rPr>
          <w:rFonts w:ascii="Calibri" w:hAnsi="Calibri" w:cs="Calibri"/>
          <w:sz w:val="26"/>
          <w:szCs w:val="26"/>
        </w:rPr>
      </w:pPr>
    </w:p>
    <w:p>
      <w:pPr>
        <w:ind w:left="0" w:right="0" w:firstLine="709"/>
        <w:jc w:val="both"/>
      </w:pPr>
      <w:r>
        <w:rPr>
          <w:rFonts w:ascii="Calibri" w:hAnsi="Calibri" w:cs="Calibri"/>
          <w:sz w:val="26"/>
          <w:szCs w:val="26"/>
        </w:rPr>
        <w:tab/>
        <w:t>Em que pese o fato de não haver a necessidade de expressar tacitamente uma atribuição que já é do Executivo, o texto não chega a prejudicar a sequência da tramitação do projeto de lei ora em análise</w:t>
      </w:r>
    </w:p>
    <w:p>
      <w:pPr>
        <w:ind w:left="0" w:right="0" w:firstLine="709"/>
        <w:jc w:val="both"/>
        <w:rPr>
          <w:rFonts w:ascii="Calibri" w:hAnsi="Calibri" w:cs="Calibri"/>
          <w:sz w:val="26"/>
          <w:szCs w:val="26"/>
        </w:rPr>
      </w:pPr>
    </w:p>
    <w:p>
      <w:pPr>
        <w:ind w:left="0" w:right="0" w:firstLine="709"/>
        <w:jc w:val="both"/>
      </w:pPr>
      <w:r>
        <w:rPr>
          <w:rFonts w:ascii="Calibri" w:hAnsi="Calibri" w:cs="Calibri"/>
          <w:sz w:val="26"/>
          <w:szCs w:val="26"/>
        </w:rPr>
        <w:t xml:space="preserve">    </w:t>
      </w:r>
      <w:r>
        <w:rPr>
          <w:rFonts w:ascii="Calibri" w:hAnsi="Calibri" w:cs="Calibri"/>
          <w:sz w:val="26"/>
          <w:szCs w:val="26"/>
        </w:rPr>
        <w:tab/>
        <w:t>Diante do exposto, essa Comissão de Justiça e Redação, entendendo a relevância das ações do Poder Legislativo para essa Municipalidade, sanou as dúvidas sobre a referida matéria após análise e corrobora com as argumentações feitas.</w:t>
      </w:r>
    </w:p>
    <w:p>
      <w:pPr>
        <w:ind w:left="0" w:right="0" w:firstLine="709"/>
        <w:jc w:val="both"/>
        <w:rPr>
          <w:rFonts w:ascii="Calibri" w:hAnsi="Calibri" w:cs="Calibri"/>
          <w:sz w:val="26"/>
          <w:szCs w:val="26"/>
        </w:rPr>
      </w:pPr>
    </w:p>
    <w:p>
      <w:pPr>
        <w:ind w:left="0" w:right="0" w:firstLine="709"/>
        <w:jc w:val="both"/>
      </w:pP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Excluem-se, portanto, óbices jurídicos para tramitação da presente propositura, tendo em vista o caráter público que reveste a matéria e a suplementação do tema previsto, sem quaisquer vícios de constitucionalidade material ou formal.</w:t>
      </w: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ab/>
        <w:t>Denota-se, ainda, que o presente projeto não apresenta conflitos junto ao ordenamento jurídico vigente. Dessa forma, seja no âmbito jurídico ou gramatical, não há irregularidades no projeto de lei analisado devendo ter continuidade a proposta.</w:t>
      </w:r>
    </w:p>
    <w:p>
      <w:pPr>
        <w:pStyle w:val="Normal1"/>
        <w:spacing w:line="380" w:lineRule="atLeast"/>
        <w:ind w:firstLine="709"/>
        <w:jc w:val="both"/>
        <w:rPr>
          <w:rFonts w:ascii="Calibri" w:hAnsi="Calibri"/>
          <w:sz w:val="26"/>
          <w:szCs w:val="26"/>
        </w:rPr>
      </w:pPr>
    </w:p>
    <w:p>
      <w:pPr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III. Substitutivos, Emendas ou subemendas ao Projeto</w:t>
      </w:r>
    </w:p>
    <w:p>
      <w:pPr>
        <w:rPr>
          <w:sz w:val="24"/>
          <w:szCs w:val="24"/>
        </w:rPr>
      </w:pPr>
    </w:p>
    <w:p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 </w:t>
      </w:r>
      <w:r>
        <w:rPr>
          <w:rFonts w:ascii="Calibri" w:hAnsi="Calibri" w:cs="Calibri"/>
          <w:sz w:val="26"/>
          <w:szCs w:val="26"/>
        </w:rPr>
        <w:tab/>
        <w:t>Não foram apresentadas propostas emendas ou subemendas ao  projeto.</w:t>
      </w:r>
    </w:p>
    <w:p>
      <w:pPr>
        <w:jc w:val="both"/>
        <w:rPr>
          <w:color w:val="5983B0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IV. Decisão da Comissão </w:t>
      </w:r>
    </w:p>
    <w:p>
      <w:pPr>
        <w:jc w:val="both"/>
        <w:rPr>
          <w:color w:val="5983B0"/>
          <w:sz w:val="24"/>
          <w:szCs w:val="24"/>
        </w:rPr>
      </w:pPr>
    </w:p>
    <w:p>
      <w:pPr>
        <w:ind w:left="0" w:right="0" w:firstLine="709"/>
        <w:jc w:val="both"/>
      </w:pPr>
      <w:r>
        <w:rPr>
          <w:rFonts w:ascii="Calibri" w:hAnsi="Calibri" w:cs="Calibri"/>
          <w:sz w:val="26"/>
          <w:szCs w:val="26"/>
        </w:rPr>
        <w:tab/>
        <w:t>P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ortanto, a Comissão corrobora com a argumentação do titular da iniciativa legislativa em análise e considera que a presente propositura não apresenta vícios de constitucionalidade, recebendo parecer </w:t>
      </w:r>
      <w:r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FAVORÁVEL.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</w:p>
    <w:p>
      <w:pPr>
        <w:ind w:left="0" w:right="0" w:firstLine="709"/>
        <w:jc w:val="both"/>
        <w:rPr>
          <w:rFonts w:ascii="Calibri" w:hAnsi="Calibri" w:cs="Calibri"/>
          <w:sz w:val="26"/>
          <w:szCs w:val="26"/>
        </w:rPr>
      </w:pPr>
    </w:p>
    <w:p>
      <w:pPr>
        <w:jc w:val="center"/>
        <w:rPr>
          <w:rFonts w:ascii="Calibri" w:hAnsi="Calibri" w:cs="Calibri"/>
          <w:color w:val="000000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color w:val="000000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color w:val="000000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color w:val="000000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color w:val="000000"/>
          <w:sz w:val="26"/>
          <w:szCs w:val="26"/>
          <w:shd w:val="clear" w:color="auto" w:fill="FFFFFF"/>
        </w:rPr>
      </w:pPr>
    </w:p>
    <w:p>
      <w:pPr>
        <w:jc w:val="center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Sala das Comissões, em 8 de julho de 2022</w:t>
      </w:r>
    </w:p>
    <w:p>
      <w:pPr>
        <w:jc w:val="center"/>
        <w:rPr>
          <w:rFonts w:ascii="Calibri" w:hAnsi="Calibri" w:cs="Calibri"/>
          <w:sz w:val="28"/>
          <w:szCs w:val="28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Vereadora Dra. Lúcia Maria Ferreira Tenório </w:t>
      </w:r>
    </w:p>
    <w:p>
      <w:pPr>
        <w:jc w:val="center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Relatora</w:t>
      </w:r>
    </w:p>
    <w:p>
      <w:pPr>
        <w:spacing w:before="0" w:after="240"/>
        <w:rPr>
          <w:color w:val="5983B0"/>
          <w:sz w:val="26"/>
          <w:szCs w:val="26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6"/>
          <w:szCs w:val="26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b/>
          <w:bCs/>
          <w:sz w:val="24"/>
          <w:szCs w:val="24"/>
        </w:rPr>
        <w:t>PARECER DA COMISSÃO DE JUSTIÇA E REDAÇÃO AO PROJETO DE LEI Nº 181 DE 2021</w:t>
      </w:r>
    </w:p>
    <w:p>
      <w:pPr>
        <w:spacing w:before="0" w:after="240"/>
        <w:rPr>
          <w:color w:val="5983B0"/>
          <w:sz w:val="24"/>
          <w:szCs w:val="24"/>
        </w:rPr>
      </w:pP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o Voto exarado pela relatora, a Comissão de Justiça e Redação</w:t>
      </w:r>
      <w:r>
        <w:rPr>
          <w:rFonts w:ascii="Arial" w:hAnsi="Arial" w:cs="Calibri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formaliza o presente </w:t>
      </w:r>
      <w:r>
        <w:rPr>
          <w:rFonts w:ascii="Arial" w:hAnsi="Arial" w:cs="Arial"/>
          <w:b/>
          <w:bCs/>
          <w:sz w:val="24"/>
          <w:szCs w:val="24"/>
        </w:rPr>
        <w:t>PARECER FAVORÁVEL</w:t>
      </w:r>
      <w:r>
        <w:rPr>
          <w:rFonts w:ascii="Arial" w:hAnsi="Arial" w:cs="Arial"/>
          <w:sz w:val="24"/>
          <w:szCs w:val="24"/>
        </w:rPr>
        <w:t>.</w:t>
      </w:r>
    </w:p>
    <w:p>
      <w:pPr>
        <w:jc w:val="both"/>
        <w:rPr>
          <w:sz w:val="24"/>
          <w:szCs w:val="24"/>
        </w:rPr>
      </w:pPr>
    </w:p>
    <w:p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Sala das Comissões, em 8 de julho de 2022</w:t>
      </w:r>
    </w:p>
    <w:p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>
      <w:pPr>
        <w:spacing w:before="0" w:after="240"/>
        <w:rPr>
          <w:b/>
          <w:bCs/>
          <w:sz w:val="24"/>
          <w:szCs w:val="24"/>
        </w:rPr>
      </w:pPr>
    </w:p>
    <w:p>
      <w:pPr>
        <w:spacing w:before="0" w:after="240"/>
        <w:rPr>
          <w:b/>
          <w:bCs/>
          <w:sz w:val="24"/>
          <w:szCs w:val="24"/>
        </w:rPr>
      </w:pPr>
    </w:p>
    <w:p>
      <w:pPr>
        <w:jc w:val="center"/>
        <w:rPr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JUSTIÇA E REDAÇÃO</w:t>
      </w:r>
    </w:p>
    <w:p>
      <w:pPr>
        <w:spacing w:before="0" w:after="240"/>
      </w:pPr>
      <w:r>
        <w:rPr>
          <w:sz w:val="24"/>
          <w:szCs w:val="24"/>
        </w:rPr>
        <w:br/>
      </w:r>
    </w:p>
    <w:p>
      <w:pPr>
        <w:spacing w:before="0" w:after="240"/>
        <w:rPr>
          <w:sz w:val="24"/>
          <w:szCs w:val="24"/>
        </w:rPr>
      </w:pPr>
    </w:p>
    <w:p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Presidente </w:t>
      </w:r>
    </w:p>
    <w:p>
      <w:pPr>
        <w:jc w:val="center"/>
        <w:rPr>
          <w:sz w:val="24"/>
          <w:szCs w:val="24"/>
        </w:rPr>
      </w:pPr>
    </w:p>
    <w:p>
      <w:pPr>
        <w:spacing w:before="0" w:after="240"/>
        <w:rPr>
          <w:sz w:val="24"/>
          <w:szCs w:val="24"/>
        </w:rPr>
      </w:pPr>
    </w:p>
    <w:p>
      <w:pPr>
        <w:spacing w:before="0" w:after="240"/>
      </w:pPr>
      <w:r>
        <w:rPr>
          <w:sz w:val="24"/>
          <w:szCs w:val="24"/>
        </w:rPr>
        <w:br/>
      </w:r>
    </w:p>
    <w:p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Vice-presidente </w:t>
      </w:r>
    </w:p>
    <w:p>
      <w:pPr>
        <w:spacing w:before="0" w:after="240"/>
        <w:rPr>
          <w:color w:val="5983B0"/>
          <w:sz w:val="24"/>
          <w:szCs w:val="24"/>
        </w:rPr>
      </w:pPr>
    </w:p>
    <w:p>
      <w:pPr>
        <w:spacing w:before="0" w:after="240"/>
        <w:rPr>
          <w:color w:val="5983B0"/>
          <w:sz w:val="24"/>
          <w:szCs w:val="24"/>
        </w:rPr>
      </w:pPr>
    </w:p>
    <w:p>
      <w:pPr>
        <w:spacing w:before="0" w:after="240"/>
        <w:rPr>
          <w:color w:val="5983B0"/>
          <w:sz w:val="24"/>
          <w:szCs w:val="24"/>
        </w:rPr>
      </w:pPr>
    </w:p>
    <w:p>
      <w:pPr>
        <w:jc w:val="center"/>
        <w:rPr>
          <w:rFonts w:ascii="Arial" w:hAnsi="Arial" w:cs="Calibri"/>
          <w:b/>
          <w:bCs/>
          <w:sz w:val="24"/>
          <w:szCs w:val="24"/>
        </w:rPr>
      </w:pPr>
      <w:r>
        <w:rPr>
          <w:rFonts w:ascii="Arial" w:hAnsi="Arial" w:cs="Calibri"/>
          <w:b/>
          <w:bCs/>
          <w:sz w:val="24"/>
          <w:szCs w:val="24"/>
        </w:rPr>
        <w:t xml:space="preserve">VEREADORA DRA. LÚCIA MARIA FERREIRA TENÓRIO </w:t>
      </w:r>
    </w:p>
    <w:p>
      <w:pPr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Membro - Relatora</w:t>
      </w:r>
    </w:p>
    <w:p>
      <w:pPr>
        <w:spacing w:before="0" w:after="240"/>
        <w:jc w:val="both"/>
        <w:rPr>
          <w:color w:val="5983B0"/>
        </w:rPr>
      </w:pP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rPr>
        <w:color w:val="5B9BD5"/>
      </w:rPr>
      <w:t xml:space="preserve">pág. </w:t>
    </w:r>
    <w:r>
      <w:rPr>
        <w:color w:val="5B9BD5"/>
      </w:rPr>
      <w:fldChar w:fldCharType="begin"/>
    </w:r>
    <w:r>
      <w:rPr>
        <w:color w:val="5B9BD5"/>
      </w:rPr>
      <w:instrText xml:space="preserve"> PAGE </w:instrText>
    </w:r>
    <w:r>
      <w:rPr>
        <w:color w:val="5B9BD5"/>
      </w:rPr>
      <w:fldChar w:fldCharType="separate"/>
    </w:r>
    <w:r>
      <w:rPr>
        <w:color w:val="5B9BD5"/>
      </w:rPr>
      <w:t>4</w:t>
    </w:r>
    <w:r>
      <w:rPr>
        <w:color w:val="5B9BD5"/>
      </w:rPr>
      <w:fldChar w:fldCharType="end"/>
    </w:r>
  </w:p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361259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1.4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CFDBA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33C28883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RodapChar">
    <w:name w:val="Rodapé Char"/>
    <w:basedOn w:val="DefaultParagraphFont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785</Words>
  <Characters>4164</Characters>
  <Application>Microsoft Office Word</Application>
  <DocSecurity>0</DocSecurity>
  <Lines>0</Lines>
  <Paragraphs>43</Paragraphs>
  <ScaleCrop>false</ScaleCrop>
  <Company>Camara Municipal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</cp:revision>
  <cp:lastPrinted>2022-07-08T11:31:05Z</cp:lastPrinted>
  <dcterms:created xsi:type="dcterms:W3CDTF">2022-03-17T15:49:00Z</dcterms:created>
  <dcterms:modified xsi:type="dcterms:W3CDTF">2022-07-11T11:05:38Z</dcterms:modified>
  <dc:language>pt-BR</dc:language>
</cp:coreProperties>
</file>