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MODIFICATIVA Nº  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Altera-se a redação do inciso I do artigo 5º do Projeto de Lei n° 62 de 2022, passando a vigorar com a seguinte redação:</w:t>
      </w:r>
    </w:p>
    <w:p w:rsidR="00000000" w:rsidRPr="00000000" w:rsidP="00000000" w14:paraId="00000008">
      <w:pPr>
        <w:spacing w:before="240" w:line="24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“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 – </w:t>
      </w:r>
      <w:r w:rsidRPr="00000000">
        <w:rPr>
          <w:rFonts w:ascii="Arial" w:eastAsia="Arial" w:hAnsi="Arial" w:cs="Arial"/>
          <w:sz w:val="24"/>
          <w:szCs w:val="24"/>
          <w:rtl w:val="0"/>
        </w:rPr>
        <w:t>estabelecer carga horária compatível com atividade escolar do estagiário, sem prejuízo ao período obrigatório de formação.”</w:t>
      </w:r>
    </w:p>
    <w:p w:rsidR="00000000" w:rsidRPr="00000000" w:rsidP="00000000" w14:paraId="00000009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6"/>
          <w:szCs w:val="26"/>
          <w:rtl w:val="0"/>
        </w:rPr>
        <w:t>SALA DAS SESSÕES “VEREADOR SANTO RÓTOLLI”, em  11 DE JULHO DE 2022</w:t>
      </w:r>
    </w:p>
    <w:p w:rsidR="00000000" w:rsidRPr="00000000" w:rsidP="00000000" w14:paraId="0000000C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24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10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1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2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3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4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7">
      <w:pPr>
        <w:spacing w:before="240"/>
        <w:jc w:val="center"/>
        <w:rPr>
          <w:rFonts w:ascii="Calibri" w:eastAsia="Calibri" w:hAnsi="Calibri" w:cs="Calibri"/>
          <w:sz w:val="28"/>
          <w:szCs w:val="28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8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9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000000" w:rsidRPr="00000000" w:rsidP="00000000" w14:paraId="0000001A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92481472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8362611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43924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30608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2434088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463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882584736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07501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90643067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34517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