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Relatório</w:t>
      </w:r>
    </w:p>
    <w:p>
      <w:pPr>
        <w:pStyle w:val="Normal"/>
        <w:spacing w:before="0" w:after="240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n.º 100/ 2022</w:t>
      </w:r>
    </w:p>
    <w:p>
      <w:pPr>
        <w:pStyle w:val="Normal"/>
        <w:spacing w:before="0" w:after="238"/>
        <w:contextualSpacing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Processo nº 150/2022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 xml:space="preserve"> </w:t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ab/>
        <w:t>Conforme determina o artigo 35 da Resolução 276 de 09 de novembro de 2010 – Regimento Interno da Câmara Municipal, a Comissão Permanente de Justiça e Redação, emite o presente Relatório acerca do Projeto de Lei n.º 100/2022, de autoria do Exmo. Sr. Vereador Luis Roberto Tavares, sob relatoria da Vereadora Mara Cristina Choquetta.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I. Exposição da Matéria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>O Excelentíssimo Senhor Vereador Luis Roberto Tavares protocolou nesta Casa de Leis o Projeto de Lei nº 100/2022, que “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DISPÕE SOBRE A OBRIGATORIEDADE DE INSTALAÇÃO DE VÁLVULAS DE RETENÇÃO NAS REDES DE ESGOTO DE NOVAS RESIDÊNCIAS E EM NOVOS LOTEAMENTOS E EMPREENDIMENTOS IMOBILIÁRIOS NO MUNICÍPIO DE MOGI MIRIM E DÁ OUTRAS PROVIDÊNCIAS</w:t>
      </w:r>
      <w:r>
        <w:rPr>
          <w:rFonts w:cs="Calibri" w:ascii="Calibri" w:hAnsi="Calibri"/>
          <w:color w:val="000000"/>
          <w:sz w:val="26"/>
          <w:szCs w:val="26"/>
        </w:rPr>
        <w:t>.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”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II. Do mérito e conclusões do relator</w:t>
      </w:r>
      <w:r>
        <w:rPr>
          <w:rFonts w:cs="Calibri" w:ascii="Calibri" w:hAnsi="Calibri"/>
          <w:color w:val="000000"/>
          <w:sz w:val="26"/>
          <w:szCs w:val="26"/>
        </w:rPr>
        <w:t> 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   </w:t>
      </w:r>
      <w:r>
        <w:rPr>
          <w:rFonts w:cs="Calibri" w:ascii="Calibri" w:hAnsi="Calibri"/>
          <w:color w:val="000000"/>
          <w:sz w:val="26"/>
          <w:szCs w:val="26"/>
        </w:rPr>
        <w:t xml:space="preserve">Inicialmente, verifica-se que o projeto se encontra dentro da competência legislativa do Município, conforme determina o artigo 30, inciso I da Constituição Federal, uma vez que se trata de assunto de interesse local. 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ab/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Por sua vez, o artigo 12 da Lei Orgânica de Mogi Mirim – LOMM, também prevê a competência do Município em legislar sobre: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 xml:space="preserve"> XIII - planejar o uso e a ocupação do solo em seu território, em zona urbana e rural, estabelecendo normas de edificação, de loteamento, de arruamento e de zoneamento urbano e rural bem como as limitações urbanísticas convenientes à ordenação do seu território, observado o estatuto da cidade</w:t>
      </w:r>
      <w:r>
        <w:rPr>
          <w:rFonts w:cs="Calibri" w:ascii="Calibri" w:hAnsi="Calibri"/>
          <w:color w:val="000000"/>
          <w:sz w:val="26"/>
          <w:szCs w:val="26"/>
        </w:rPr>
        <w:t>;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No que diz respeito a iniciativa, verificamos que a matéria não se encontra inserida no rol taxativo de iniciativa privativa do Chefe do Poder Executivo, que se encontra elencado no artigo 51 da Lei Orgânica do município.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ab/>
        <w:t xml:space="preserve"> O autor propõe que se torne obrigatório que nos novos empreendimentos imobiliários, loteamentos e edificações residenciais, seja incluído no</w:t>
      </w:r>
      <w:r>
        <w:rPr>
          <w:rFonts w:cs="Calibri" w:ascii="Calibri" w:hAnsi="Calibri"/>
          <w:color w:val="000000"/>
          <w:sz w:val="26"/>
          <w:szCs w:val="26"/>
        </w:rPr>
        <w:t>s</w:t>
      </w:r>
      <w:r>
        <w:rPr>
          <w:rFonts w:cs="Calibri" w:ascii="Calibri" w:hAnsi="Calibri"/>
          <w:color w:val="000000"/>
          <w:sz w:val="26"/>
          <w:szCs w:val="26"/>
        </w:rPr>
        <w:t xml:space="preserve"> projeto</w:t>
      </w:r>
      <w:r>
        <w:rPr>
          <w:rFonts w:cs="Calibri" w:ascii="Calibri" w:hAnsi="Calibri"/>
          <w:color w:val="000000"/>
          <w:sz w:val="26"/>
          <w:szCs w:val="26"/>
        </w:rPr>
        <w:t>s</w:t>
      </w:r>
      <w:r>
        <w:rPr>
          <w:rFonts w:cs="Calibri" w:ascii="Calibri" w:hAnsi="Calibri"/>
          <w:color w:val="000000"/>
          <w:sz w:val="26"/>
          <w:szCs w:val="26"/>
        </w:rPr>
        <w:t xml:space="preserve"> de construção a implantação de uma válvula de retenção nas saídas da rede de efluente doméstico (esgoto), a fim de funcionar como uma barreira física, impedindo que aranhas, escorpiões e baratas, adentrem nas residências dos munícipes. </w:t>
        <w:tab/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ab/>
        <w:t>De forma complementar, a medida trará como benefício a impossibilidade de refluxo do esgoto para os imóveis. Tal proposta originou-se em uma Audiência Pública, ocorrida nesta Casa, onde foi amplamente discutida a problemática da proliferação de escorpiões na cidade e os riscos a saúde pública.</w:t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ab/>
        <w:t>A propositura prevê ainda, que seja criado um programa de conscientização no município, informando sobre a importância e os benefícios da instalação do referido dispositivo.</w:t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ab/>
        <w:t>Segundo informado pelo autor, a instalação do retentor será adicionado nas obrigações do interessado e figurará como um item adicional no procedimento de fiscalização para liberação do projeto.</w:t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hang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ab/>
        <w:t>Para colaborar com a relatoria, foi solicitado apoio jurídico para a empresa de consultoria pública SGP – Soluções em Gestão Pública, que se manifestou pelo prosseguimento da propositura, não observando vícios em sua elaboração.</w:t>
      </w:r>
    </w:p>
    <w:p>
      <w:pPr>
        <w:pStyle w:val="Normal"/>
        <w:spacing w:before="240" w:after="240"/>
        <w:ind w:firstLine="708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Diante de todo exposto, considerando a legalidade do projeto, não se verifica óbices para continuidade da proposta.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III. Substitutivos, Emendas ou subemendas ao Projeto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ab/>
        <w:tab/>
        <w:t>Em avaliação à redação do Projeto de Lei, observamos apenas um equívoco formal no artigo 4º, que não está de acordo com a norma de elaboração dos atos públicos, sendo proposta uma emenda modificativa para proceder com as devidas correções.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IV. Decisão da Relatora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ab/>
        <w:t>Esta Relatoria considera que a presente propositura não apresenta vícios de constitucionalidade, recebendo parecer FAVORÁVEL</w:t>
      </w:r>
      <w:r>
        <w:rPr>
          <w:rFonts w:cs="Calibri" w:ascii="Calibri" w:hAnsi="Calibri"/>
          <w:color w:val="000000"/>
          <w:sz w:val="26"/>
          <w:szCs w:val="26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Sala das Comissões, em 01 de agosto de 2.022.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  <w:u w:val="single"/>
        </w:rPr>
        <w:t>COMISSÃO DE JUSTIÇA E REDAÇÃO</w:t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6"/>
          <w:szCs w:val="26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6"/>
          <w:szCs w:val="26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Vereadora Mara Cristina Choquetta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Vice-Presidente /Relatora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4"/>
          <w:szCs w:val="24"/>
        </w:rPr>
        <w:t>PARECER FAVORÁVEL N.º 11/2022 DA COMISSÃO DE JUSTIÇA E REDAÇÃO</w:t>
      </w:r>
    </w:p>
    <w:p>
      <w:pPr>
        <w:pStyle w:val="Normal"/>
        <w:jc w:val="both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</w:rPr>
        <w:t xml:space="preserve">Seguindo o Voto exarado pela Relatora e conforme determina o artigo 35 da Resolução n.º 276 de 09 de novembro de 2.010, a Comissão de Justiça e Redação formaliza o presente </w:t>
      </w:r>
      <w:r>
        <w:rPr>
          <w:rFonts w:cs="Arial" w:ascii="Calibri" w:hAnsi="Calibri"/>
          <w:b/>
          <w:bCs/>
          <w:color w:val="000000"/>
          <w:sz w:val="24"/>
          <w:szCs w:val="24"/>
        </w:rPr>
        <w:t>PARECER FAVORÁVEL</w:t>
      </w:r>
      <w:r>
        <w:rPr>
          <w:rFonts w:cs="Arial" w:ascii="Calibri" w:hAnsi="Calibri"/>
          <w:color w:val="000000"/>
          <w:sz w:val="24"/>
          <w:szCs w:val="24"/>
        </w:rPr>
        <w:t>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  <w:shd w:fill="FFFFFF" w:val="clear"/>
        </w:rPr>
        <w:t>Sala das Comissões, em 01 de agosto de 2.022.</w:t>
      </w:r>
    </w:p>
    <w:p>
      <w:pPr>
        <w:pStyle w:val="Normal"/>
        <w:spacing w:before="0" w:after="240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4"/>
          <w:szCs w:val="24"/>
          <w:u w:val="single"/>
          <w:shd w:fill="FFFFFF" w:val="clear"/>
        </w:rPr>
        <w:t>COMISSÃO DE JUSTIÇA E REDAÇÃO</w:t>
      </w:r>
    </w:p>
    <w:p>
      <w:pPr>
        <w:pStyle w:val="Normal"/>
        <w:spacing w:before="0" w:after="24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br/>
      </w:r>
    </w:p>
    <w:p>
      <w:pPr>
        <w:pStyle w:val="Normal"/>
        <w:spacing w:before="0" w:after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4"/>
          <w:szCs w:val="24"/>
          <w:shd w:fill="FFFFFF" w:val="clear"/>
        </w:rPr>
        <w:t>VEREADOR JOÃO VICTOR GASPARINI</w:t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  <w:shd w:fill="FFFFFF" w:val="clear"/>
        </w:rPr>
        <w:t xml:space="preserve">Presidente 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4"/>
          <w:szCs w:val="24"/>
          <w:shd w:fill="FFFFFF" w:val="clear"/>
        </w:rPr>
        <w:t>VEREADORA MARA CRISTINA CHOQUETTA</w:t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  <w:shd w:fill="FFFFFF" w:val="clear"/>
        </w:rPr>
        <w:t>Vice – presidente/relatora</w:t>
      </w:r>
    </w:p>
    <w:p>
      <w:pPr>
        <w:pStyle w:val="Normal"/>
        <w:spacing w:before="0" w:after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24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br/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4"/>
          <w:szCs w:val="24"/>
          <w:shd w:fill="FFFFFF" w:val="clear"/>
        </w:rPr>
        <w:t>VEREADORA  DRA. LÚCIA MARIA FERREIRA TENÓRIO</w:t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  <w:shd w:fill="FFFFFF" w:val="clear"/>
        </w:rPr>
        <w:t>Membro 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man Old Style" w:hAnsi="Bookman Old Style"/>
        <w:b/>
        <w:b/>
        <w:sz w:val="18"/>
      </w:rPr>
    </w:pPr>
    <w:r>
      <w:rPr>
        <w:rFonts w:ascii="Bookman Old Style" w:hAnsi="Bookman Old Style"/>
        <w:b/>
        <w:sz w:val="18"/>
      </w:rPr>
      <w:fldChar w:fldCharType="begin"/>
    </w:r>
    <w:r>
      <w:rPr>
        <w:sz w:val="18"/>
        <w:b/>
        <w:rFonts w:ascii="Bookman Old Style" w:hAnsi="Bookman Old Style"/>
      </w:rPr>
      <w:instrText xml:space="preserve"> PAGE </w:instrText>
    </w:r>
    <w:r>
      <w:rPr>
        <w:sz w:val="18"/>
        <w:b/>
        <w:rFonts w:ascii="Bookman Old Style" w:hAnsi="Bookman Old Style"/>
      </w:rPr>
      <w:fldChar w:fldCharType="separate"/>
    </w:r>
    <w:r>
      <w:rPr>
        <w:sz w:val="18"/>
        <w:b/>
        <w:rFonts w:ascii="Bookman Old Style" w:hAnsi="Bookman Old Style"/>
      </w:rPr>
      <w:t>3</w:t>
    </w:r>
    <w:r>
      <w:rPr>
        <w:sz w:val="18"/>
        <w:b/>
        <w:rFonts w:ascii="Bookman Old Style" w:hAnsi="Bookman Old Style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3A17B76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3A17B76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 wp14:anchorId="3A17B7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3A17B7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 wp14:anchorId="3A17B7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3A17B7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7b031c"/>
    <w:rPr/>
  </w:style>
  <w:style w:type="character" w:styleId="LinkdaInternet" w:customStyle="1">
    <w:name w:val="Link da Internet"/>
    <w:basedOn w:val="DefaultParagraphFont"/>
    <w:rsid w:val="00223e3b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23e3b"/>
    <w:rPr>
      <w:color w:val="605E5C"/>
      <w:shd w:fill="E1DFDD" w:val="clear"/>
    </w:rPr>
  </w:style>
  <w:style w:type="character" w:styleId="Appletabspan" w:customStyle="1">
    <w:name w:val="apple-tab-span"/>
    <w:basedOn w:val="DefaultParagraphFont"/>
    <w:qFormat/>
    <w:rsid w:val="005101c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dd6d26"/>
    <w:pPr/>
    <w:rPr>
      <w:rFonts w:ascii="Segoe UI" w:hAnsi="Segoe UI" w:cs="Segoe UI"/>
      <w:sz w:val="18"/>
      <w:szCs w:val="18"/>
    </w:rPr>
  </w:style>
  <w:style w:type="paragraph" w:styleId="Corpodetexto31" w:customStyle="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styleId="Textoembloco1" w:customStyle="1">
    <w:name w:val="Texto em bloco1"/>
    <w:basedOn w:val="Normal"/>
    <w:qFormat/>
    <w:rsid w:val="00ed0d92"/>
    <w:pPr>
      <w:ind w:left="-709" w:right="-943" w:hanging="0"/>
      <w:jc w:val="both"/>
    </w:pPr>
    <w:rPr>
      <w:sz w:val="22"/>
      <w:lang w:eastAsia="ar-SA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f57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DB31-E583-4DB5-8F1E-BF8E10DA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11802</TotalTime>
  <Application>LibreOffice/7.3.1.3$Windows_X86_64 LibreOffice_project/a69ca51ded25f3eefd52d7bf9a5fad8c90b87951</Application>
  <AppVersion>15.0000</AppVersion>
  <Pages>3</Pages>
  <Words>651</Words>
  <Characters>3557</Characters>
  <CharactersWithSpaces>4203</CharactersWithSpaces>
  <Paragraphs>45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2022-02-17T15:51:00Z</dcterms:created>
  <dc:creator>Secretaria</dc:creator>
  <dc:description/>
  <dc:language>pt-BR</dc:language>
  <cp:lastModifiedBy/>
  <cp:lastPrinted>2022-08-04T11:07:31Z</cp:lastPrinted>
  <dcterms:modified xsi:type="dcterms:W3CDTF">2022-08-04T11:09:30Z</dcterms:modified>
  <cp:revision>113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