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spacing w:before="24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40" w:lineRule="auto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110 de 2022</w:t>
      </w:r>
    </w:p>
    <w:p w:rsidR="00000000" w:rsidRPr="00000000" w:rsidP="00000000" w14:paraId="00000005">
      <w:pPr>
        <w:spacing w:line="240" w:lineRule="auto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162 de 2022.</w:t>
      </w:r>
    </w:p>
    <w:p w:rsidR="00000000" w:rsidRPr="00000000" w:rsidP="00000000" w14:paraId="00000006">
      <w:pPr>
        <w:spacing w:line="240" w:lineRule="auto"/>
        <w:rPr>
          <w:b/>
          <w:sz w:val="26"/>
          <w:szCs w:val="26"/>
        </w:rPr>
      </w:pPr>
    </w:p>
    <w:p w:rsidR="00000000" w:rsidRPr="00000000" w:rsidP="00000000" w14:paraId="00000007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 xml:space="preserve">Conforme determinam os artigos 35, 37 e 42 combinados com o artigo 45 da Resolução 276 de 09 de novembro de 2010 – Regimento Interno da Câmara Municipal, a Comissão Permanente de Justiça e Redação, conjuntamente com as Comissões Permanentes de Exames de Assuntos Industriais e Comerciais e de Finanças e Orçamento emitem o presente Relatório acerca do Projeto de Lei n.º 110/2022, de autoria do Exmo. Sr. Prefeito Municipal, sob a relatoria do </w:t>
      </w:r>
      <w:r w:rsidRPr="00000000">
        <w:rPr>
          <w:b/>
          <w:sz w:val="26"/>
          <w:szCs w:val="26"/>
          <w:rtl w:val="0"/>
        </w:rPr>
        <w:t>Vereador João Victor Gasparini.</w:t>
      </w:r>
    </w:p>
    <w:p w:rsidR="00000000" w:rsidRPr="00000000" w:rsidP="00000000" w14:paraId="00000008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9">
      <w:pPr>
        <w:spacing w:before="240" w:line="240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Prefeito Municipal Sr. Paulo de Oliveira e Silva, através da mensagem nº 083/22, envia a esta Casa de Leis o Projeto de Lei nº 110 de 2022, que </w:t>
      </w:r>
      <w:r w:rsidRPr="00000000">
        <w:rPr>
          <w:b/>
          <w:i/>
          <w:sz w:val="26"/>
          <w:szCs w:val="26"/>
          <w:rtl w:val="0"/>
        </w:rPr>
        <w:t>“Institui, no âmbito do Município de Mogi Mirim, o Programa Municipal de Incentivo à Construção Civil para Fins Habitacionais (PMICCH) e dá outras providências. ”</w:t>
      </w:r>
    </w:p>
    <w:p w:rsidR="00000000" w:rsidRPr="00000000" w:rsidP="00000000" w14:paraId="0000000A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 presente Propositura tem por objetivo incentivar o desenvolvimento do mercado de construção civil local e a consequente geração de empregos. Voltado especificamente para projetos de moradias unifamiliares, construídas em lotes regulares e vazios, com localização limitada na área urbana da cidade, envolve obras residenciais, edificações horizontais e verticais com projetos arquitetônicos aprovados, além de novos projetos a serem protocolados na Prefeitura. </w:t>
      </w:r>
    </w:p>
    <w:p w:rsidR="00000000" w:rsidRPr="00000000" w:rsidP="00000000" w14:paraId="0000000B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referido programa já havia sido instituído no Município através da Lei Ordinária n° 6.380/2021, tendo sua vigência vinculada pelo prazo de 6 (seis) meses decorridos da sua publicação, que se deu de 14 de dezembro de 2021 até 14 de junho de 2022. Em reunião realizada nesta Câmara Municipal entre as Comissões Permanentes e representantes do Poder Executivo Municipal no dia 3 de agosto de 2022, fomos informados de que o prazo estabelecido para a vigência da mencionada Lei se deu por conta do processo legislativo do novo Plano Diretor de Mogi Mirim, que estava em tramitação nesta Casa e a sua aprovação poderia estabelecer novos parâmetros para o Programa em questão.</w:t>
      </w:r>
    </w:p>
    <w:p w:rsidR="00000000" w:rsidRPr="00000000" w:rsidP="00000000" w14:paraId="0000000C">
      <w:pPr>
        <w:spacing w:before="240" w:line="24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Vale ressaltar que o PMICCH terá abrangência urbana, de acordo com o perímetro definido pela Lei Complementar nº 363 de 2022 (Plano Diretor de Mogi Mirim), exceto os locais de chácaras de recreio e áreas que são objetos de processos de regularização fundiária urbanos não concluídos. </w:t>
      </w:r>
    </w:p>
    <w:p w:rsidR="00000000" w:rsidRPr="00000000" w:rsidP="00000000" w14:paraId="0000000D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ab/>
        <w:t>A proposta visa abranger lotes de 300m² até 2.000m², que permitirá, por exemplo, que um lote de 300m² possa sofrer desdobro, possibilitando a construção de duas residências. As residências poderão ter no máximo dois pavimentos, com ocupação máxima de 60%, após o desdobro do lote resultante deve ter área mínima de 150m² e testada mínima de 5 metros</w:t>
      </w:r>
      <w:r w:rsidRPr="00000000">
        <w:rPr>
          <w:b/>
          <w:sz w:val="26"/>
          <w:szCs w:val="26"/>
          <w:rtl w:val="0"/>
        </w:rPr>
        <w:t>.</w:t>
      </w:r>
    </w:p>
    <w:p w:rsidR="00000000" w:rsidRPr="00000000" w:rsidP="00000000" w14:paraId="0000000E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0F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</w:p>
    <w:p w:rsidR="00000000" w:rsidRPr="00000000" w:rsidP="00000000" w14:paraId="00000010">
      <w:pPr>
        <w:spacing w:before="240" w:line="24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Inicialmente, verifica-se que se trata de um assunto de competência legislativa do Município, conforme determina o artigo 30, inciso I da Constituição Federal, que dispõem sobre:</w:t>
      </w:r>
    </w:p>
    <w:p w:rsidR="00000000" w:rsidRPr="00000000" w:rsidP="00000000" w14:paraId="00000011">
      <w:pPr>
        <w:shd w:val="clear" w:color="auto" w:fill="FFFFFF"/>
        <w:spacing w:before="200" w:after="200" w:line="240" w:lineRule="auto"/>
        <w:ind w:left="4320" w:firstLine="0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>“</w:t>
      </w:r>
      <w:r w:rsidRPr="00000000">
        <w:rPr>
          <w:i/>
          <w:sz w:val="26"/>
          <w:szCs w:val="26"/>
          <w:rtl w:val="0"/>
        </w:rPr>
        <w:t>Art. 30. Compete aos Municípios:</w:t>
      </w:r>
    </w:p>
    <w:p w:rsidR="00000000" w:rsidRPr="00000000" w:rsidP="00000000" w14:paraId="00000012">
      <w:pPr>
        <w:shd w:val="clear" w:color="auto" w:fill="FFFFFF"/>
        <w:spacing w:before="200" w:after="200" w:line="240" w:lineRule="auto"/>
        <w:ind w:left="432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3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Outrossim, o inciso XIII do artigo 12 da Lei Orgânica do Município dispõe sobre a competência privativa do município em: </w:t>
      </w:r>
    </w:p>
    <w:p w:rsidR="00000000" w:rsidRPr="00000000" w:rsidP="00000000" w14:paraId="00000014">
      <w:pPr>
        <w:shd w:val="clear" w:color="auto" w:fill="FFFFFF"/>
        <w:spacing w:before="240"/>
        <w:ind w:left="3600" w:firstLine="720"/>
        <w:jc w:val="both"/>
        <w:rPr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12 - XIII- planejar o uso e a ocupação do solo em seu território, em zona urbana e rural, estabelecendo normas de edificação, de loteamento, de arruamento e de zoneamento urbano e rural bem como as limitações urbanísticas convenientes à ordenação do seu território, observado o estatuto da cidade;”</w:t>
      </w:r>
    </w:p>
    <w:p w:rsidR="00000000" w:rsidRPr="00000000" w:rsidP="00000000" w14:paraId="00000015">
      <w:pPr>
        <w:shd w:val="clear" w:color="auto" w:fill="FFFFFF"/>
        <w:spacing w:before="240"/>
        <w:ind w:firstLine="720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>Do mesmo modo, consideramos que a propositura não possui vícios de iniciativa, posto que, sendo de autoria do Poder Executivo, houve respeito à iniciativa privativa prevista no artigo 51, inciso IV da Lei Orgânica do Município de Mogi Mirim.</w:t>
      </w:r>
    </w:p>
    <w:p w:rsidR="00000000" w:rsidRPr="00000000" w:rsidP="00000000" w14:paraId="00000016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que, o artigo 182 da Constituição do Estado de São Paulo, incumbe o Estado e o Município de promover programas de construção de moradias e melhorias das condições habitacionais, que são objetos do Projeto de Lei em análise.</w:t>
      </w:r>
    </w:p>
    <w:p w:rsidR="00000000" w:rsidRPr="00000000" w:rsidP="00000000" w14:paraId="00000017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18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Quanto ao interesse social, constata-se tratar de incentivar a construção civil, consequentemente o aumento de geração de empregos, em curto prazo e aumento da oferta de moradias com um valor mais acessível. Sendo de importância ímpar medidas de políticas públicas que visem atenuar o déficit de moradias que se encontra o município de Mogi Mirim. Assim, do ponto de vista social, verifica-se que também não há entraves para a tramitação do Projeto.</w:t>
      </w:r>
    </w:p>
    <w:p w:rsidR="00000000" w:rsidRPr="00000000" w:rsidP="00000000" w14:paraId="00000019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 fim, quanto ao aspecto financeiro, em análise técnica do presente projeto, denota-se que não existe obrigação financeira e orçamentária ao Poder Executivo caso aprovada a proposta de lei.</w:t>
      </w:r>
    </w:p>
    <w:p w:rsidR="00000000" w:rsidRPr="00000000" w:rsidP="00000000" w14:paraId="0000001A">
      <w:pPr>
        <w:shd w:val="clear" w:color="auto" w:fill="FFFFFF"/>
        <w:spacing w:before="240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Diante do exposto, considerando a importância social que se reveste a matéria, e tendo em vista que não observamos irregularidades na propositura ora analisada, não se verifica óbices para continuidade da proposta apresentada pelo Executivo Municipal.</w:t>
      </w:r>
    </w:p>
    <w:p w:rsidR="00000000" w:rsidRPr="00000000" w:rsidP="00000000" w14:paraId="0000001B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C">
      <w:pPr>
        <w:spacing w:before="240" w:line="24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A Comissão de Justiça e Redação, em reunião com representantes do Poder Executivo, identificou a possibilidade de flexibilizar o programa que dispõe o Projeto de Lei n° 110 de 2022, propondo uma emenda modificativa para alterar o inciso III do artigo 4°, possibilitando que o Programa também possa atender locais com leitos carroçáveis com, no mínimo, 6 metros.</w:t>
      </w:r>
    </w:p>
    <w:p w:rsidR="00000000" w:rsidRPr="00000000" w:rsidP="00000000" w14:paraId="0000001D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1E">
      <w:pPr>
        <w:spacing w:before="240" w:line="240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Portanto, diante do exposto, esta relatoria considera que a presente propositura não apresenta vícios de constitucionalidade, recebendo assim parecer</w:t>
      </w:r>
      <w:r w:rsidRPr="00000000">
        <w:rPr>
          <w:b/>
          <w:sz w:val="26"/>
          <w:szCs w:val="26"/>
          <w:rtl w:val="0"/>
        </w:rPr>
        <w:t xml:space="preserve"> FAVORÁVEL.</w:t>
      </w:r>
    </w:p>
    <w:p w:rsidR="00000000" w:rsidRPr="00000000" w:rsidP="00000000" w14:paraId="0000001F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0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1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2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23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24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5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6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7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8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9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A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B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C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D">
      <w:pPr>
        <w:spacing w:line="24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REDAÇÃO; COMISSÃO DE EXAMES DE ASSUNTOS INDUSTRIAIS E COMERCIAIS; COMISSÃO DE FINANÇAS E ORÇAMENTO;</w:t>
      </w:r>
    </w:p>
    <w:p w:rsidR="00000000" w:rsidRPr="00000000" w:rsidP="00000000" w14:paraId="0000002E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2F">
      <w:pPr>
        <w:spacing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 o artigo 35, 37 e 42, combinados com artigo 45 da Resolução n°  276 de 09 de novembro de 2.010 a Comissão de Justiça e Redação conjuntamente com as Comissões Permanentes de Exames de Assuntos Industriais e Comerciais e de Finanças e Orçamento formalizam o presente </w:t>
      </w:r>
      <w:r w:rsidRPr="00000000">
        <w:rPr>
          <w:b/>
          <w:sz w:val="26"/>
          <w:szCs w:val="26"/>
          <w:rtl w:val="0"/>
        </w:rPr>
        <w:t>PARECER FAVORÁVEL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30">
      <w:pPr>
        <w:spacing w:line="240" w:lineRule="auto"/>
        <w:ind w:left="0" w:firstLine="0"/>
        <w:jc w:val="both"/>
        <w:rPr>
          <w:sz w:val="26"/>
          <w:szCs w:val="26"/>
        </w:rPr>
      </w:pPr>
    </w:p>
    <w:p w:rsidR="00000000" w:rsidRPr="00000000" w:rsidP="00000000" w14:paraId="00000031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32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>9</w:t>
      </w:r>
      <w:r w:rsidRPr="00000000">
        <w:rPr>
          <w:color w:val="000000"/>
          <w:sz w:val="26"/>
          <w:szCs w:val="26"/>
          <w:highlight w:val="white"/>
          <w:rtl w:val="0"/>
        </w:rPr>
        <w:t xml:space="preserve"> de </w:t>
      </w:r>
      <w:r w:rsidRPr="00000000">
        <w:rPr>
          <w:sz w:val="26"/>
          <w:szCs w:val="26"/>
          <w:highlight w:val="white"/>
          <w:rtl w:val="0"/>
        </w:rPr>
        <w:t xml:space="preserve">Agosto </w:t>
      </w:r>
      <w:r w:rsidRPr="00000000">
        <w:rPr>
          <w:color w:val="000000"/>
          <w:sz w:val="26"/>
          <w:szCs w:val="26"/>
          <w:highlight w:val="white"/>
          <w:rtl w:val="0"/>
        </w:rPr>
        <w:t>de 2022</w:t>
      </w:r>
      <w:r w:rsidRPr="00000000">
        <w:rPr>
          <w:sz w:val="26"/>
          <w:szCs w:val="26"/>
          <w:highlight w:val="white"/>
          <w:rtl w:val="0"/>
        </w:rPr>
        <w:t>.</w:t>
      </w:r>
    </w:p>
    <w:p w:rsidR="00000000" w:rsidRPr="00000000" w:rsidP="00000000" w14:paraId="00000033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34">
      <w:pPr>
        <w:spacing w:after="240" w:line="240" w:lineRule="auto"/>
        <w:rPr>
          <w:b/>
          <w:sz w:val="26"/>
          <w:szCs w:val="26"/>
        </w:rPr>
      </w:pPr>
    </w:p>
    <w:p w:rsidR="00000000" w:rsidRPr="00000000" w:rsidP="00000000" w14:paraId="00000035">
      <w:pPr>
        <w:spacing w:line="240" w:lineRule="auto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6">
      <w:pPr>
        <w:spacing w:after="240" w:line="240" w:lineRule="auto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37">
      <w:pPr>
        <w:spacing w:line="240" w:lineRule="auto"/>
        <w:jc w:val="center"/>
        <w:rPr>
          <w:b/>
          <w:sz w:val="26"/>
          <w:szCs w:val="26"/>
        </w:rPr>
      </w:pPr>
    </w:p>
    <w:p w:rsidR="00000000" w:rsidRPr="00000000" w:rsidP="00000000" w14:paraId="00000038">
      <w:pPr>
        <w:spacing w:line="240" w:lineRule="auto"/>
        <w:rPr>
          <w:b/>
          <w:sz w:val="26"/>
          <w:szCs w:val="26"/>
        </w:rPr>
      </w:pPr>
    </w:p>
    <w:p w:rsidR="00000000" w:rsidRPr="00000000" w:rsidP="00000000" w14:paraId="00000039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A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3B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C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D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3E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F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0">
      <w:pPr>
        <w:spacing w:after="240" w:line="240" w:lineRule="auto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41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42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43">
      <w:pPr>
        <w:spacing w:after="240" w:line="240" w:lineRule="auto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4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5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6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7">
      <w:pPr>
        <w:spacing w:after="240" w:line="240" w:lineRule="auto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EXAMES DE ASSUNTOS INDUSTRIAIS E COMERCIAIS</w:t>
      </w:r>
    </w:p>
    <w:p w:rsidR="00000000" w:rsidRPr="00000000" w:rsidP="00000000" w14:paraId="00000048">
      <w:pPr>
        <w:spacing w:after="240" w:line="240" w:lineRule="auto"/>
        <w:jc w:val="left"/>
        <w:rPr>
          <w:b/>
          <w:sz w:val="26"/>
          <w:szCs w:val="26"/>
        </w:rPr>
      </w:pPr>
    </w:p>
    <w:p w:rsidR="00000000" w:rsidRPr="00000000" w:rsidP="00000000" w14:paraId="00000049">
      <w:pPr>
        <w:spacing w:after="240" w:line="240" w:lineRule="auto"/>
        <w:jc w:val="center"/>
        <w:rPr>
          <w:b/>
          <w:sz w:val="26"/>
          <w:szCs w:val="26"/>
        </w:rPr>
      </w:pPr>
    </w:p>
    <w:p w:rsidR="00000000" w:rsidRPr="00000000" w:rsidP="00000000" w14:paraId="0000004A">
      <w:pPr>
        <w:spacing w:after="240" w:line="240" w:lineRule="auto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4B">
      <w:pPr>
        <w:spacing w:after="240"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4C">
      <w:pPr>
        <w:spacing w:after="240" w:line="240" w:lineRule="auto"/>
        <w:jc w:val="center"/>
        <w:rPr>
          <w:sz w:val="26"/>
          <w:szCs w:val="26"/>
        </w:rPr>
      </w:pPr>
    </w:p>
    <w:p w:rsidR="00000000" w:rsidRPr="00000000" w:rsidP="00000000" w14:paraId="0000004D">
      <w:pPr>
        <w:spacing w:after="240" w:line="240" w:lineRule="auto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DIRCEU DA SILVA PAULINO</w:t>
      </w:r>
    </w:p>
    <w:p w:rsidR="00000000" w:rsidRPr="00000000" w:rsidP="00000000" w14:paraId="0000004E">
      <w:pPr>
        <w:spacing w:after="240"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4F">
      <w:pPr>
        <w:spacing w:after="240" w:line="240" w:lineRule="auto"/>
        <w:jc w:val="left"/>
        <w:rPr>
          <w:sz w:val="26"/>
          <w:szCs w:val="26"/>
        </w:rPr>
      </w:pPr>
    </w:p>
    <w:p w:rsidR="00000000" w:rsidRPr="00000000" w:rsidP="00000000" w14:paraId="00000050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51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 Membro</w:t>
      </w:r>
    </w:p>
    <w:p w:rsidR="00000000" w:rsidRPr="00000000" w:rsidP="00000000" w14:paraId="00000052">
      <w:pPr>
        <w:spacing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3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54">
      <w:pPr>
        <w:spacing w:line="240" w:lineRule="auto"/>
        <w:rPr>
          <w:sz w:val="26"/>
          <w:szCs w:val="26"/>
        </w:rPr>
      </w:pPr>
    </w:p>
    <w:p w:rsidR="00000000" w:rsidRPr="00000000" w:rsidP="00000000" w14:paraId="00000055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56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57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58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59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 Presidente </w:t>
      </w:r>
    </w:p>
    <w:p w:rsidR="00000000" w:rsidRPr="00000000" w:rsidP="00000000" w14:paraId="0000005A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5B">
      <w:pPr>
        <w:spacing w:line="240" w:lineRule="auto"/>
        <w:rPr>
          <w:sz w:val="26"/>
          <w:szCs w:val="26"/>
          <w:highlight w:val="white"/>
        </w:rPr>
      </w:pPr>
    </w:p>
    <w:p w:rsidR="00000000" w:rsidRPr="00000000" w:rsidP="00000000" w14:paraId="0000005C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5D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5E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 ALEXANDRE CINTRA</w:t>
      </w:r>
    </w:p>
    <w:p w:rsidR="00000000" w:rsidRPr="00000000" w:rsidP="00000000" w14:paraId="0000005F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60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61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62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63">
      <w:pPr>
        <w:spacing w:line="240" w:lineRule="auto"/>
        <w:rPr>
          <w:sz w:val="26"/>
          <w:szCs w:val="26"/>
        </w:rPr>
      </w:pPr>
    </w:p>
    <w:p w:rsidR="00000000" w:rsidRPr="00000000" w:rsidP="00000000" w14:paraId="00000064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VEREADORA MARA CRISTINA CHOQUETTA</w:t>
      </w:r>
    </w:p>
    <w:p w:rsidR="00000000" w:rsidRPr="00000000" w:rsidP="00000000" w14:paraId="00000065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66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67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68">
      <w:pPr>
        <w:spacing w:after="240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OBRAS, SERVIÇOS PÚBLICOS E ATIVIDADES PRIVADAS</w:t>
      </w:r>
    </w:p>
    <w:p w:rsidR="00000000" w:rsidRPr="00000000" w:rsidP="00000000" w14:paraId="00000069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A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B">
      <w:pPr>
        <w:spacing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6C">
      <w:pPr>
        <w:spacing w:after="240"/>
        <w:jc w:val="center"/>
        <w:rPr>
          <w:b/>
          <w:sz w:val="26"/>
          <w:szCs w:val="26"/>
          <w:u w:val="single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6D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E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F">
      <w:pPr>
        <w:spacing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GERALDO VICENTE BERTANHA</w:t>
      </w:r>
    </w:p>
    <w:p w:rsidR="00000000" w:rsidRPr="00000000" w:rsidP="00000000" w14:paraId="00000070">
      <w:pPr>
        <w:spacing w:after="240"/>
        <w:jc w:val="center"/>
        <w:rPr>
          <w:b/>
          <w:sz w:val="26"/>
          <w:szCs w:val="26"/>
          <w:u w:val="single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71">
      <w:pPr>
        <w:spacing w:after="240"/>
        <w:rPr>
          <w:b/>
          <w:sz w:val="26"/>
          <w:szCs w:val="26"/>
          <w:u w:val="single"/>
        </w:rPr>
      </w:pPr>
    </w:p>
    <w:p w:rsidR="00000000" w:rsidRPr="00000000" w:rsidP="00000000" w14:paraId="00000072">
      <w:pPr>
        <w:spacing w:after="240"/>
        <w:rPr>
          <w:b/>
          <w:sz w:val="26"/>
          <w:szCs w:val="26"/>
          <w:u w:val="single"/>
        </w:rPr>
      </w:pPr>
    </w:p>
    <w:p w:rsidR="00000000" w:rsidRPr="00000000" w:rsidP="00000000" w14:paraId="00000073">
      <w:pPr>
        <w:spacing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ADEMIR SOUZA FLORETTI JUNIOR</w:t>
      </w:r>
    </w:p>
    <w:p w:rsidR="00000000" w:rsidRPr="00000000" w:rsidP="00000000" w14:paraId="00000074">
      <w:pPr>
        <w:spacing w:after="240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39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7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958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7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