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78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113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Trata-se de Projeto de Lei apresentado pelo Nobre Vereador Dirceu da Silva Paulino, que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“Institui no Município de Mogi Mirim o Programa Municipal de Prevenção ao Suicídio e de Promoção do Direito ao Acesso à Saúde Mental entre Jovens e Adolescentes,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Projeto apresentado pelo Vereador visa criar um programa, no âmbito municipal, voltado para a prevenção e combate ao suicídio e depressão, bem como a promoção acesso à saude mental para jovens e adolescentes, que segundo justificativa anexada ao Projeto, tem de tornado um problema cada vez mais evidente em nossa sociedade, considerando o crescente numero de suicidios. 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Inicialmente cumpre destacar que a Comissão de Justiça e Redação requereu parecer da SPG - Soluções em Gestão Pública - para avaliação do Projeto de Lei ora analisado, através da CONSULTA/0298/2022/MN/G de 5 julho de 2022, com parecer pela constitucionalidade da matéria, com a exceção de um apontamento de vícios de constitucionalidade formal contidos nos artigos 3° e 9° da Propositura, no qual mencionaremos neste relatório.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 relação à legalidade da matéria, trata-se de assunto que se enquadra nas competências legislativas do Município, conforme determina o artigo 30, inciso I da Constituição Federal, legislando sobre assuntos de interesse local. Do mesmo modo, a Constituição garante aos Municípios brasileiros o poder de exercitar plenamente a competência legislativa de suplementar as legislações estadual e federal, naquilo que for cabível e disser respeito ao interesse local (inc. II do art. 30 da CF). </w:t>
      </w:r>
    </w:p>
    <w:p w:rsidR="00000000" w:rsidDel="00000000" w:rsidP="00000000" w:rsidRDefault="00000000" w:rsidRPr="00000000" w14:paraId="0000000F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 relação à iniciativa do projeto, de origem parlamentar, visando instituir um programa de incentivo ao acesso à saúde mental e prevenção ao suicídio, entendemos que, além de nobre, se enquadra como iniciativa concorrente, uma vez que a matéria não está inserida no rol de iniciativas privativas dos chefes dos Poderes Executivo Federal, Estadual e Municipal. 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Entretanto, em análise aos artigos 3°, 5° e 9° do Projeto de Lei em epígrafe, consideramos que os mesmos possuem vícios de inconstitucionalidade, que também foram apontados pela mencionada consulta da SGP, uma vez que pretendem criar e fixar atribuições à Secretaria Municipal de Saúde e de Educação, indo de encontro às competências privativas do chefe do Poder Executivo, de acordo com o inciso III do artigo 51 da Lei Orgânica de Mogi Mirim. </w:t>
      </w:r>
    </w:p>
    <w:p w:rsidR="00000000" w:rsidDel="00000000" w:rsidP="00000000" w:rsidRDefault="00000000" w:rsidRPr="00000000" w14:paraId="00000011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Constatado o conflito com o ordenamento constitucional e jurídico vigente, a Comissão entrou em contato com o Nobre Vereador Dirceu da Silva Paulino, que atendeu a solicitação da Comissão e propôs EMENDA  MODIFICATIVA (n° 01) aos artigos 3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sz w:val="26"/>
          <w:szCs w:val="26"/>
          <w:rtl w:val="0"/>
        </w:rPr>
        <w:t xml:space="preserve"> e 5°</w:t>
      </w:r>
      <w:r w:rsidDel="00000000" w:rsidR="00000000" w:rsidRPr="00000000">
        <w:rPr>
          <w:sz w:val="26"/>
          <w:szCs w:val="26"/>
          <w:rtl w:val="0"/>
        </w:rPr>
        <w:t xml:space="preserve">, e uma EMENDA SUPRESSIVA (n° 2) ao artigo 9°, adequando o Projeto para atender as exigências constitucionais para sua regular tramitação junto à Casa de Leis.</w:t>
      </w:r>
    </w:p>
    <w:p w:rsidR="00000000" w:rsidDel="00000000" w:rsidP="00000000" w:rsidRDefault="00000000" w:rsidRPr="00000000" w14:paraId="00000012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faz necessário também mencionar que o Município de Mogi Mirim instituiu, por meio da Lei Municipal n°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6.059 de 2013 a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Campanha Municipal de Prevenção ao Suicídio “Setembro Amarelo”. Entendemos que o Projeto de Lei em análise não apresenta conflitos com a referida legislação, sendo, em nossa visão, um complemento ao ordenamento jurídico vigente, conforme disposto no artigo 7° da própria Propositura.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seja no âmbito jurídico ou gramatical não há irregularidades na propositura ora analisada, motivo pelo qual não se verifica óbice para continuidade da proposta apresentada pelo Nobre Vereador.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19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</w:t>
      </w:r>
      <w:r w:rsidDel="00000000" w:rsidR="00000000" w:rsidRPr="00000000">
        <w:rPr>
          <w:sz w:val="26"/>
          <w:szCs w:val="26"/>
          <w:rtl w:val="0"/>
        </w:rPr>
        <w:t xml:space="preserve">R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DA COMISSÃO DE JUSTIÇA E REDAÇÃ</w:t>
      </w:r>
      <w:r w:rsidDel="00000000" w:rsidR="00000000" w:rsidRPr="00000000">
        <w:rPr>
          <w:b w:val="1"/>
          <w:sz w:val="26"/>
          <w:szCs w:val="26"/>
          <w:rtl w:val="0"/>
        </w:rPr>
        <w:t xml:space="preserve">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 Resolução n.º 276 de 09 de novembro de 2010, a Comiss</w:t>
      </w:r>
      <w:r w:rsidDel="00000000" w:rsidR="00000000" w:rsidRPr="00000000">
        <w:rPr>
          <w:sz w:val="26"/>
          <w:szCs w:val="26"/>
          <w:rtl w:val="0"/>
        </w:rPr>
        <w:t xml:space="preserve">ão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 e Redação  formaliza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ao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Projeto de Lei n° 78 de 2022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3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09 de agosto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3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 VEREADORA DR. LÚCIA MARIA FERREIRA TENÓRIO</w:t>
      </w:r>
    </w:p>
    <w:p w:rsidR="00000000" w:rsidDel="00000000" w:rsidP="00000000" w:rsidRDefault="00000000" w:rsidRPr="00000000" w14:paraId="00000037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701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