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  </w:t>
      </w:r>
    </w:p>
    <w:p>
      <w:pPr>
        <w:pStyle w:val="Normal"/>
        <w:spacing w:lineRule="auto" w:line="240"/>
        <w:jc w:val="center"/>
        <w:rPr>
          <w:rFonts w:ascii="Calibri" w:hAnsi="Calibri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Calibri" w:hAnsi="Calibri"/>
          <w:b/>
          <w:color w:val="000000"/>
          <w:sz w:val="24"/>
          <w:szCs w:val="24"/>
        </w:rPr>
        <w:t xml:space="preserve">RELATÓRIO </w:t>
      </w:r>
    </w:p>
    <w:p>
      <w:pPr>
        <w:pStyle w:val="Normal"/>
        <w:spacing w:lineRule="auto" w:line="240"/>
        <w:rPr/>
      </w:pPr>
      <w:r>
        <w:rPr>
          <w:rFonts w:eastAsia="Arial" w:cs="Arial" w:ascii="Calibri" w:hAnsi="Calibri"/>
          <w:b/>
          <w:color w:val="000000"/>
          <w:sz w:val="24"/>
          <w:szCs w:val="24"/>
        </w:rPr>
        <w:t>Projeto de Lei n.º 1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>22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 xml:space="preserve"> de 2022</w:t>
      </w:r>
    </w:p>
    <w:p>
      <w:pPr>
        <w:pStyle w:val="Normal"/>
        <w:spacing w:lineRule="auto" w:line="240"/>
        <w:rPr/>
      </w:pPr>
      <w:r>
        <w:rPr>
          <w:rFonts w:eastAsia="Arial" w:cs="Arial" w:ascii="Calibri" w:hAnsi="Calibri"/>
          <w:b/>
          <w:color w:val="000000"/>
          <w:sz w:val="24"/>
          <w:szCs w:val="24"/>
        </w:rPr>
        <w:t>Processo nº 1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>81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 xml:space="preserve"> de 2022.</w:t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color w:val="000000"/>
          <w:sz w:val="24"/>
          <w:szCs w:val="24"/>
        </w:rPr>
      </w:pPr>
      <w:r>
        <w:rPr>
          <w:rFonts w:eastAsia="Arial" w:cs="Arial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Arial" w:cs="Arial" w:ascii="Calibri" w:hAnsi="Calibri"/>
          <w:sz w:val="24"/>
          <w:szCs w:val="24"/>
        </w:rPr>
        <w:t xml:space="preserve"> </w:t>
      </w:r>
      <w:r>
        <w:rPr>
          <w:rFonts w:eastAsia="Arial" w:cs="Arial" w:ascii="Calibri" w:hAnsi="Calibri"/>
          <w:sz w:val="24"/>
          <w:szCs w:val="24"/>
        </w:rPr>
        <w:tab/>
      </w:r>
      <w:r>
        <w:rPr>
          <w:rFonts w:eastAsia="Arial" w:cs="Arial" w:ascii="Calibri" w:hAnsi="Calibri"/>
          <w:color w:val="000000"/>
          <w:sz w:val="24"/>
          <w:szCs w:val="24"/>
        </w:rPr>
        <w:t xml:space="preserve">Conforme determinam os artigos 35, 37 </w:t>
      </w:r>
      <w:r>
        <w:rPr>
          <w:rFonts w:eastAsia="Arial" w:cs="Arial" w:ascii="Calibri" w:hAnsi="Calibri"/>
          <w:sz w:val="24"/>
          <w:szCs w:val="24"/>
        </w:rPr>
        <w:t>e 39, combinados com o artigo 45</w:t>
      </w:r>
      <w:r>
        <w:rPr>
          <w:rFonts w:eastAsia="Arial" w:cs="Arial" w:ascii="Calibri" w:hAnsi="Calibri"/>
          <w:color w:val="000000"/>
          <w:sz w:val="24"/>
          <w:szCs w:val="24"/>
        </w:rPr>
        <w:t xml:space="preserve"> da Resolução 276 de 09 de novembro de 2010 – Regimento Interno da Câmara Municipal, a </w:t>
      </w:r>
      <w:r>
        <w:rPr>
          <w:rFonts w:eastAsia="Arial" w:cs="Arial" w:ascii="Calibri" w:hAnsi="Calibri"/>
          <w:sz w:val="24"/>
          <w:szCs w:val="24"/>
        </w:rPr>
        <w:t>Comissão</w:t>
      </w:r>
      <w:r>
        <w:rPr>
          <w:rFonts w:eastAsia="Arial" w:cs="Arial" w:ascii="Calibri" w:hAnsi="Calibri"/>
          <w:color w:val="000000"/>
          <w:sz w:val="24"/>
          <w:szCs w:val="24"/>
        </w:rPr>
        <w:t xml:space="preserve"> Permanente de Justiça e Redação, </w:t>
      </w:r>
      <w:r>
        <w:rPr>
          <w:rFonts w:eastAsia="Arial" w:cs="Arial" w:ascii="Calibri" w:hAnsi="Calibri"/>
          <w:sz w:val="24"/>
          <w:szCs w:val="24"/>
        </w:rPr>
        <w:t xml:space="preserve">conjuntamente com as Comissões Permanentes de Educação, Saúde, Cultura, Esporte e Assistência Social e de Finanças e Orçamento emitem o presente Relatório </w:t>
      </w:r>
      <w:r>
        <w:rPr>
          <w:rFonts w:eastAsia="Arial" w:cs="Arial" w:ascii="Calibri" w:hAnsi="Calibri"/>
          <w:color w:val="000000"/>
          <w:sz w:val="24"/>
          <w:szCs w:val="24"/>
        </w:rPr>
        <w:t xml:space="preserve">acerca do Projeto de Lei n.º </w:t>
      </w:r>
      <w:r>
        <w:rPr>
          <w:rFonts w:eastAsia="Arial" w:cs="Arial" w:ascii="Calibri" w:hAnsi="Calibri"/>
          <w:sz w:val="24"/>
          <w:szCs w:val="24"/>
        </w:rPr>
        <w:t>1</w:t>
      </w:r>
      <w:r>
        <w:rPr>
          <w:rFonts w:eastAsia="Arial" w:cs="Arial" w:ascii="Calibri" w:hAnsi="Calibri"/>
          <w:sz w:val="24"/>
          <w:szCs w:val="24"/>
        </w:rPr>
        <w:t>22</w:t>
      </w:r>
      <w:r>
        <w:rPr>
          <w:rFonts w:eastAsia="Arial" w:cs="Arial" w:ascii="Calibri" w:hAnsi="Calibri"/>
          <w:color w:val="000000"/>
          <w:sz w:val="24"/>
          <w:szCs w:val="24"/>
        </w:rPr>
        <w:t>/2022, de autoria do Exmo.</w:t>
      </w:r>
      <w:r>
        <w:rPr>
          <w:rFonts w:eastAsia="Arial" w:cs="Arial" w:ascii="Calibri" w:hAnsi="Calibri"/>
          <w:sz w:val="24"/>
          <w:szCs w:val="24"/>
        </w:rPr>
        <w:t xml:space="preserve"> </w:t>
      </w:r>
      <w:r>
        <w:rPr>
          <w:rFonts w:eastAsia="Arial" w:cs="Arial" w:ascii="Calibri" w:hAnsi="Calibri"/>
          <w:color w:val="000000"/>
          <w:sz w:val="24"/>
          <w:szCs w:val="24"/>
        </w:rPr>
        <w:t xml:space="preserve">Sr. Prefeito Municipal, sob 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 xml:space="preserve">a relatoria </w:t>
      </w:r>
      <w:r>
        <w:rPr>
          <w:rFonts w:eastAsia="Arial" w:cs="Arial" w:ascii="Calibri" w:hAnsi="Calibri"/>
          <w:b/>
          <w:sz w:val="24"/>
          <w:szCs w:val="24"/>
        </w:rPr>
        <w:t>d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 xml:space="preserve">a Vereadora Mara Cristina Choquetta. </w:t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Calibri" w:hAnsi="Calibri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Calibri" w:hAnsi="Calibri"/>
          <w:b/>
          <w:color w:val="000000"/>
          <w:sz w:val="24"/>
          <w:szCs w:val="24"/>
        </w:rPr>
        <w:t>I. Exposição da Matéria</w:t>
      </w:r>
    </w:p>
    <w:p>
      <w:pPr>
        <w:pStyle w:val="Normal"/>
        <w:spacing w:lineRule="auto" w:line="240"/>
        <w:ind w:left="0" w:right="0" w:firstLine="709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eastAsia="Arial" w:cs="Arial" w:ascii="Calibri" w:hAnsi="Calibri"/>
          <w:color w:val="000000"/>
          <w:sz w:val="24"/>
          <w:szCs w:val="24"/>
        </w:rPr>
        <w:t xml:space="preserve">O Excelentíssimo Senhor Prefeito Dr. Paulo de Oliveira e Silva encaminha a esta Casa de Leis o Projeto de Lei n.º </w:t>
      </w:r>
      <w:r>
        <w:rPr>
          <w:rFonts w:eastAsia="Arial" w:cs="Arial" w:ascii="Calibri" w:hAnsi="Calibri"/>
          <w:sz w:val="24"/>
          <w:szCs w:val="24"/>
        </w:rPr>
        <w:t>1</w:t>
      </w:r>
      <w:r>
        <w:rPr>
          <w:rFonts w:eastAsia="Arial" w:cs="Arial" w:ascii="Calibri" w:hAnsi="Calibri"/>
          <w:sz w:val="24"/>
          <w:szCs w:val="24"/>
        </w:rPr>
        <w:t>22</w:t>
      </w:r>
      <w:r>
        <w:rPr>
          <w:rFonts w:eastAsia="Arial" w:cs="Arial" w:ascii="Calibri" w:hAnsi="Calibri"/>
          <w:sz w:val="24"/>
          <w:szCs w:val="24"/>
        </w:rPr>
        <w:t xml:space="preserve"> de </w:t>
      </w:r>
      <w:r>
        <w:rPr>
          <w:rFonts w:eastAsia="Arial" w:cs="Arial" w:ascii="Calibri" w:hAnsi="Calibri"/>
          <w:color w:val="000000"/>
          <w:sz w:val="24"/>
          <w:szCs w:val="24"/>
        </w:rPr>
        <w:t>2022, que</w:t>
      </w:r>
      <w:r>
        <w:rPr>
          <w:rFonts w:eastAsia="Arial" w:cs="Arial" w:ascii="Calibri" w:hAnsi="Calibri"/>
          <w:b/>
          <w:color w:val="000000"/>
          <w:sz w:val="24"/>
          <w:szCs w:val="24"/>
        </w:rPr>
        <w:t xml:space="preserve"> </w:t>
      </w:r>
      <w:r>
        <w:rPr>
          <w:rFonts w:eastAsia="Arial" w:cs="Arial" w:ascii="Calibri" w:hAnsi="Calibri"/>
          <w:b/>
          <w:i/>
          <w:iCs/>
          <w:color w:val="000000"/>
          <w:sz w:val="24"/>
          <w:szCs w:val="24"/>
        </w:rPr>
        <w:t xml:space="preserve">“Dispõe sobre abertura de crédito  suplementar, por </w:t>
      </w:r>
      <w:r>
        <w:rPr>
          <w:rFonts w:eastAsia="Arial" w:cs="Arial" w:ascii="Calibri" w:hAnsi="Calibri"/>
          <w:b/>
          <w:i/>
          <w:iCs/>
          <w:color w:val="000000"/>
          <w:sz w:val="24"/>
          <w:szCs w:val="24"/>
        </w:rPr>
        <w:t>superávit financeiro de 2021</w:t>
      </w:r>
      <w:r>
        <w:rPr>
          <w:rFonts w:eastAsia="Arial" w:cs="Arial" w:ascii="Calibri" w:hAnsi="Calibri"/>
          <w:b/>
          <w:i/>
          <w:iCs/>
          <w:color w:val="000000"/>
          <w:sz w:val="24"/>
          <w:szCs w:val="24"/>
        </w:rPr>
        <w:t>, no valor de R$ 1.</w:t>
      </w:r>
      <w:r>
        <w:rPr>
          <w:rFonts w:eastAsia="Arial" w:cs="Arial" w:ascii="Calibri" w:hAnsi="Calibri"/>
          <w:b/>
          <w:i/>
          <w:iCs/>
          <w:color w:val="000000"/>
          <w:sz w:val="24"/>
          <w:szCs w:val="24"/>
        </w:rPr>
        <w:t>452.000,00</w:t>
      </w:r>
      <w:r>
        <w:rPr>
          <w:rFonts w:eastAsia="Arial" w:cs="Arial" w:ascii="Calibri" w:hAnsi="Calibri"/>
          <w:b/>
          <w:i/>
          <w:iCs/>
          <w:color w:val="000000"/>
          <w:sz w:val="24"/>
          <w:szCs w:val="24"/>
        </w:rPr>
        <w:t>”</w:t>
      </w:r>
      <w:r>
        <w:rPr>
          <w:rFonts w:eastAsia="Arial" w:cs="Arial" w:ascii="Calibri" w:hAnsi="Calibri"/>
          <w:b/>
          <w:i/>
          <w:iCs/>
          <w:sz w:val="24"/>
          <w:szCs w:val="24"/>
        </w:rPr>
        <w:t>.</w:t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rFonts w:eastAsia="Arial" w:cs="Arial" w:ascii="Calibri" w:hAnsi="Calibri"/>
          <w:sz w:val="24"/>
          <w:szCs w:val="24"/>
        </w:rPr>
        <w:t xml:space="preserve">O referido Projeto de Lei busca a autorização legislativa desta Casa de Leis para permitir a abertura de crédito adicional especial suplementar na Secretaria de Assistência Social, por </w:t>
      </w:r>
      <w:r>
        <w:rPr>
          <w:rFonts w:eastAsia="Arial" w:cs="Arial" w:ascii="Calibri" w:hAnsi="Calibri"/>
          <w:sz w:val="24"/>
          <w:szCs w:val="24"/>
        </w:rPr>
        <w:t xml:space="preserve">superávit financeiro, </w:t>
      </w:r>
      <w:r>
        <w:rPr>
          <w:rFonts w:eastAsia="Arial" w:cs="Arial" w:ascii="Calibri" w:hAnsi="Calibri"/>
          <w:sz w:val="24"/>
          <w:szCs w:val="24"/>
        </w:rPr>
        <w:t xml:space="preserve">com valores </w:t>
      </w:r>
      <w:r>
        <w:rPr>
          <w:rFonts w:eastAsia="Arial" w:cs="Arial" w:ascii="Calibri" w:hAnsi="Calibri"/>
          <w:sz w:val="24"/>
          <w:szCs w:val="24"/>
        </w:rPr>
        <w:t>originados do Fundo Municipal dos Direitos da Pessoa Idosa.</w:t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Calibri" w:hAnsi="Calibri"/>
          <w:b/>
          <w:color w:val="000000"/>
          <w:sz w:val="24"/>
          <w:szCs w:val="24"/>
        </w:rPr>
        <w:t>II. Do mérito e conclusões do relator</w:t>
      </w:r>
    </w:p>
    <w:p>
      <w:pPr>
        <w:pStyle w:val="Normal"/>
        <w:spacing w:lineRule="auto" w:line="24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</w:r>
    </w:p>
    <w:p>
      <w:pPr>
        <w:pStyle w:val="Normal"/>
        <w:spacing w:lineRule="auto" w:line="240"/>
        <w:jc w:val="both"/>
        <w:rPr/>
      </w:pPr>
      <w:r>
        <w:rPr>
          <w:rFonts w:eastAsia="Arial" w:cs="Arial" w:ascii="Calibri" w:hAnsi="Calibri"/>
          <w:color w:val="000000"/>
          <w:sz w:val="24"/>
          <w:szCs w:val="24"/>
        </w:rPr>
        <w:tab/>
        <w:t>Inicialmente, verifica-se que se trata de um assunto de competência legislativa do Município, conforme determina o artigo 30, inciso I da Constituição Federal, que dispõem sobre</w:t>
      </w:r>
      <w:r>
        <w:rPr>
          <w:rFonts w:eastAsia="Arial" w:cs="Arial" w:ascii="Calibri" w:hAnsi="Calibri"/>
          <w:sz w:val="24"/>
          <w:szCs w:val="24"/>
        </w:rPr>
        <w:t>:</w:t>
      </w:r>
    </w:p>
    <w:p>
      <w:pPr>
        <w:pStyle w:val="Normal"/>
        <w:shd w:fill="FFFFFF" w:val="clear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“</w:t>
      </w:r>
      <w:r>
        <w:rPr>
          <w:rFonts w:eastAsia="Arial" w:cs="Arial" w:ascii="Calibri" w:hAnsi="Calibri"/>
          <w:i/>
          <w:sz w:val="24"/>
          <w:szCs w:val="24"/>
        </w:rPr>
        <w:t>Art. 30. Compete aos Municípios:</w:t>
      </w:r>
    </w:p>
    <w:p>
      <w:pPr>
        <w:pStyle w:val="Normal"/>
        <w:shd w:fill="FFFFFF" w:val="clear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I - legislar sobre assuntos de interesse local;</w:t>
      </w:r>
    </w:p>
    <w:p>
      <w:pPr>
        <w:pStyle w:val="Normal"/>
        <w:shd w:fill="FFFFFF" w:val="clear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A propositura ainda respeita a iniciativa privativa do Chefe do Poder Executivo, conforme determina art. 51 da Lei Orgânica do Município - LOMM:</w:t>
      </w:r>
    </w:p>
    <w:p>
      <w:pPr>
        <w:pStyle w:val="Normal"/>
        <w:shd w:fill="FFFFFF" w:val="clear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“</w:t>
      </w:r>
      <w:r>
        <w:rPr>
          <w:rFonts w:eastAsia="Arial" w:cs="Arial" w:ascii="Calibri" w:hAnsi="Calibri"/>
          <w:i/>
          <w:iCs/>
          <w:sz w:val="24"/>
          <w:szCs w:val="24"/>
        </w:rPr>
        <w:t>Art. 51. São de iniciativa exclusiva do Prefeito as leis que disponham sobre:</w:t>
      </w:r>
    </w:p>
    <w:p>
      <w:pPr>
        <w:pStyle w:val="Normal"/>
        <w:shd w:fill="FFFFFF" w:val="clear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[...]</w:t>
      </w:r>
    </w:p>
    <w:p>
      <w:pPr>
        <w:pStyle w:val="Normal"/>
        <w:shd w:fill="FFFFFF" w:val="clear"/>
        <w:spacing w:lineRule="auto" w:line="240" w:before="240" w:after="240"/>
        <w:ind w:left="3600" w:right="0" w:firstLine="72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IV – matéria orçamentária e a que se autorize a abertura de créditos ou conceda auxílio, prêmios e subvenções;”.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Com relação à legalidade do projeto, a Lei Federal n.º 4.320/64 dispõe que os créditos suplementares são aqueles destinados a reforço de dotação orçamentária. Dispõe também que a abertura do crédito suplementar dependerá da existência de recursos disponíveis para ocorrer a despesa, conforme Arts. 41 e 43:</w:t>
      </w:r>
    </w:p>
    <w:p>
      <w:pPr>
        <w:pStyle w:val="Normal"/>
        <w:shd w:fill="FFFFFF" w:val="clear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>“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Art. 41. Os créditos adicionais classificam-se em:</w:t>
      </w:r>
    </w:p>
    <w:p>
      <w:pPr>
        <w:pStyle w:val="Normal"/>
        <w:shd w:fill="FFFFFF" w:val="clear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I - suplementares, os destinados a reforço de dotação orçamentária;”.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Por sua vez, a propositura indica conforme exigência legal, a fonte de recursos para a referida suplementação, sendo o valor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R$ 1.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452.000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,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00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que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já </w:t>
      </w:r>
      <w:r>
        <w:rPr>
          <w:rFonts w:eastAsia="Arial" w:cs="Arial" w:ascii="Calibri" w:hAnsi="Calibri"/>
          <w:sz w:val="24"/>
          <w:szCs w:val="24"/>
          <w:shd w:fill="FFFFFF" w:val="clear"/>
        </w:rPr>
        <w:t>est</w:t>
      </w:r>
      <w:r>
        <w:rPr>
          <w:rFonts w:eastAsia="Arial" w:cs="Arial" w:ascii="Calibri" w:hAnsi="Calibri"/>
          <w:sz w:val="24"/>
          <w:szCs w:val="24"/>
          <w:shd w:fill="FFFFFF" w:val="clear"/>
        </w:rPr>
        <w:t>á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disponíve</w:t>
      </w:r>
      <w:r>
        <w:rPr>
          <w:rFonts w:eastAsia="Arial" w:cs="Arial" w:ascii="Calibri" w:hAnsi="Calibri"/>
          <w:sz w:val="24"/>
          <w:szCs w:val="24"/>
          <w:shd w:fill="FFFFFF" w:val="clear"/>
        </w:rPr>
        <w:t>l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no Fundo Municipal dos Direitos da Pessoa Ido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sa, conforme demonstrativo do extrato bancário do Fundo, acostado nos autos do presente processo </w:t>
      </w:r>
      <w:r>
        <w:rPr>
          <w:rFonts w:eastAsia="Arial" w:cs="Arial" w:ascii="Calibri" w:hAnsi="Calibri"/>
          <w:sz w:val="24"/>
          <w:szCs w:val="24"/>
          <w:shd w:fill="FFFFFF" w:val="clear"/>
        </w:rPr>
        <w:t>(fl.06)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. 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Segundo informação prestada pela Secretaria Municipal de Assistência Social, em reunião conjunta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de comissões e representantes do Poder Executivo,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ocorrida em 24 de agosto de 2022, como não havia deliberação do Conselho Municipal dos Direitos da Pessoa Idosa sobre a utilização do recurso </w:t>
      </w:r>
      <w:r>
        <w:rPr>
          <w:rFonts w:eastAsia="Arial" w:cs="Arial" w:ascii="Calibri" w:hAnsi="Calibri"/>
          <w:sz w:val="24"/>
          <w:szCs w:val="24"/>
          <w:shd w:fill="FFFFFF" w:val="clear"/>
        </w:rPr>
        <w:t>e projetos aprovados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, o mesmo não foi consignado na </w:t>
      </w:r>
      <w:r>
        <w:rPr>
          <w:rFonts w:eastAsia="Arial" w:cs="Arial" w:ascii="Calibri" w:hAnsi="Calibri"/>
          <w:sz w:val="24"/>
          <w:szCs w:val="24"/>
          <w:shd w:fill="FFFFFF" w:val="clear"/>
        </w:rPr>
        <w:t>L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ei </w:t>
      </w:r>
      <w:r>
        <w:rPr>
          <w:rFonts w:eastAsia="Arial" w:cs="Arial" w:ascii="Calibri" w:hAnsi="Calibri"/>
          <w:sz w:val="24"/>
          <w:szCs w:val="24"/>
          <w:shd w:fill="FFFFFF" w:val="clear"/>
        </w:rPr>
        <w:t>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rçamentária do </w:t>
      </w:r>
      <w:r>
        <w:rPr>
          <w:rFonts w:eastAsia="Arial" w:cs="Arial" w:ascii="Calibri" w:hAnsi="Calibri"/>
          <w:sz w:val="24"/>
          <w:szCs w:val="24"/>
          <w:shd w:fill="FFFFFF" w:val="clear"/>
        </w:rPr>
        <w:t>corrente ano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, </w:t>
      </w:r>
      <w:r>
        <w:rPr>
          <w:rFonts w:eastAsia="Arial" w:cs="Arial" w:ascii="Calibri" w:hAnsi="Calibri"/>
          <w:sz w:val="24"/>
          <w:szCs w:val="24"/>
          <w:shd w:fill="FFFFFF" w:val="clear"/>
        </w:rPr>
        <w:t>necessitando, portanto, d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a aprovação da presente propositura, para inclusão dos valores no orçamento vigente </w:t>
      </w:r>
      <w:r>
        <w:rPr>
          <w:rFonts w:eastAsia="Arial" w:cs="Arial" w:ascii="Calibri" w:hAnsi="Calibri"/>
          <w:sz w:val="24"/>
          <w:szCs w:val="24"/>
          <w:shd w:fill="FFFFFF" w:val="clear"/>
        </w:rPr>
        <w:t>e consequente execução do</w:t>
      </w:r>
      <w:r>
        <w:rPr>
          <w:rFonts w:eastAsia="Arial" w:cs="Arial" w:ascii="Calibri" w:hAnsi="Calibri"/>
          <w:sz w:val="24"/>
          <w:szCs w:val="24"/>
          <w:shd w:fill="FFFFFF" w:val="clear"/>
        </w:rPr>
        <w:t>s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projetos </w:t>
      </w:r>
      <w:r>
        <w:rPr>
          <w:rFonts w:eastAsia="Arial" w:cs="Arial" w:ascii="Calibri" w:hAnsi="Calibri"/>
          <w:sz w:val="24"/>
          <w:szCs w:val="24"/>
          <w:shd w:fill="FFFFFF" w:val="clear"/>
        </w:rPr>
        <w:t>aprovado</w:t>
      </w:r>
      <w:r>
        <w:rPr>
          <w:rFonts w:eastAsia="Arial" w:cs="Arial" w:ascii="Calibri" w:hAnsi="Calibri"/>
          <w:sz w:val="24"/>
          <w:szCs w:val="24"/>
          <w:shd w:fill="FFFFFF" w:val="clear"/>
        </w:rPr>
        <w:t>s</w:t>
      </w:r>
      <w:r>
        <w:rPr>
          <w:rFonts w:eastAsia="Arial" w:cs="Arial" w:ascii="Calibri" w:hAnsi="Calibri"/>
          <w:sz w:val="24"/>
          <w:szCs w:val="24"/>
          <w:shd w:fill="FFFFFF" w:val="clear"/>
        </w:rPr>
        <w:t>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Este recurso tem origem do trabalho de captação de recursos de terceiros pelas instituições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(OSC.)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 das doações de percentuais devidos do imposto de renda de pessoa física,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que serão </w:t>
      </w:r>
      <w:r>
        <w:rPr>
          <w:rFonts w:eastAsia="Arial" w:cs="Arial" w:ascii="Calibri" w:hAnsi="Calibri"/>
          <w:sz w:val="24"/>
          <w:szCs w:val="24"/>
          <w:shd w:fill="FFFFFF" w:val="clear"/>
        </w:rPr>
        <w:t>repassado</w:t>
      </w:r>
      <w:r>
        <w:rPr>
          <w:rFonts w:eastAsia="Arial" w:cs="Arial" w:ascii="Calibri" w:hAnsi="Calibri"/>
          <w:sz w:val="24"/>
          <w:szCs w:val="24"/>
          <w:shd w:fill="FFFFFF" w:val="clear"/>
        </w:rPr>
        <w:t>s da seguinte forma: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2"/>
        </w:numPr>
        <w:shd w:fill="FFFFFF" w:val="clear"/>
        <w:spacing w:lineRule="auto" w:line="240" w:before="240" w:after="24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R$ 54</w:t>
      </w:r>
      <w:r>
        <w:rPr>
          <w:rFonts w:ascii="Calibri" w:hAnsi="Calibri"/>
          <w:b/>
          <w:bCs/>
          <w:sz w:val="24"/>
          <w:szCs w:val="24"/>
        </w:rPr>
        <w:t>0</w:t>
      </w:r>
      <w:r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>825</w:t>
      </w:r>
      <w:r>
        <w:rPr>
          <w:rFonts w:ascii="Calibri" w:hAnsi="Calibri"/>
          <w:b/>
          <w:bCs/>
          <w:sz w:val="24"/>
          <w:szCs w:val="24"/>
        </w:rPr>
        <w:t>,</w:t>
      </w:r>
      <w:r>
        <w:rPr>
          <w:rFonts w:ascii="Calibri" w:hAnsi="Calibri"/>
          <w:b/>
          <w:bCs/>
          <w:sz w:val="24"/>
          <w:szCs w:val="24"/>
        </w:rPr>
        <w:t>5</w:t>
      </w:r>
      <w:r>
        <w:rPr>
          <w:rFonts w:ascii="Calibri" w:hAnsi="Calibri"/>
          <w:b/>
          <w:bCs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 – destinado à casa de repouso “Lar São Francisco” em projeto aprovado pelo Conselho e Secretaria competente, par</w:t>
      </w:r>
      <w:r>
        <w:rPr>
          <w:rFonts w:ascii="Calibri" w:hAnsi="Calibri"/>
          <w:sz w:val="24"/>
          <w:szCs w:val="24"/>
        </w:rPr>
        <w:t xml:space="preserve">a custeio </w:t>
      </w:r>
      <w:r>
        <w:rPr>
          <w:rFonts w:ascii="Calibri" w:hAnsi="Calibri"/>
          <w:sz w:val="24"/>
          <w:szCs w:val="24"/>
        </w:rPr>
        <w:t>da entidade</w:t>
      </w:r>
      <w:r>
        <w:rPr>
          <w:rFonts w:ascii="Calibri" w:hAnsi="Calibri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hd w:fill="FFFFFF" w:val="clear"/>
        <w:spacing w:lineRule="auto" w:line="240" w:before="240" w:after="24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R$ 15</w:t>
      </w:r>
      <w:r>
        <w:rPr>
          <w:rFonts w:ascii="Calibri" w:hAnsi="Calibri"/>
          <w:b/>
          <w:bCs/>
          <w:sz w:val="24"/>
          <w:szCs w:val="24"/>
        </w:rPr>
        <w:t>6</w:t>
      </w:r>
      <w:r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>6</w:t>
      </w:r>
      <w:r>
        <w:rPr>
          <w:rFonts w:ascii="Calibri" w:hAnsi="Calibri"/>
          <w:b/>
          <w:bCs/>
          <w:sz w:val="24"/>
          <w:szCs w:val="24"/>
        </w:rPr>
        <w:t xml:space="preserve">00,00 </w:t>
      </w:r>
      <w:r>
        <w:rPr>
          <w:rFonts w:ascii="Calibri" w:hAnsi="Calibri"/>
          <w:sz w:val="24"/>
          <w:szCs w:val="24"/>
        </w:rPr>
        <w:t xml:space="preserve">– para o Instituto Coronel João Leite, em projeto aprovado pelo Conselho e Secretaria competente, para </w:t>
      </w:r>
      <w:r>
        <w:rPr>
          <w:rFonts w:ascii="Calibri" w:hAnsi="Calibri"/>
          <w:sz w:val="24"/>
          <w:szCs w:val="24"/>
        </w:rPr>
        <w:t xml:space="preserve">custeio </w:t>
      </w:r>
      <w:r>
        <w:rPr>
          <w:rFonts w:ascii="Calibri" w:hAnsi="Calibri"/>
          <w:sz w:val="24"/>
          <w:szCs w:val="24"/>
        </w:rPr>
        <w:t>da entidade</w:t>
      </w:r>
      <w:r>
        <w:rPr>
          <w:rFonts w:ascii="Calibri" w:hAnsi="Calibri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hd w:fill="FFFFFF" w:val="clear"/>
        <w:spacing w:lineRule="auto" w:line="240" w:before="240" w:after="24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R$ 753.</w:t>
      </w:r>
      <w:r>
        <w:rPr>
          <w:rFonts w:ascii="Calibri" w:hAnsi="Calibri"/>
          <w:b/>
          <w:bCs/>
          <w:sz w:val="24"/>
          <w:szCs w:val="24"/>
        </w:rPr>
        <w:t>648</w:t>
      </w:r>
      <w:r>
        <w:rPr>
          <w:rFonts w:ascii="Calibri" w:hAnsi="Calibri"/>
          <w:b/>
          <w:bCs/>
          <w:sz w:val="24"/>
          <w:szCs w:val="24"/>
        </w:rPr>
        <w:t>,</w:t>
      </w:r>
      <w:r>
        <w:rPr>
          <w:rFonts w:ascii="Calibri" w:hAnsi="Calibri"/>
          <w:b/>
          <w:bCs/>
          <w:sz w:val="24"/>
          <w:szCs w:val="24"/>
        </w:rPr>
        <w:t>78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– que serão deliberados pelo Conselho ainda neste exercício, para </w:t>
      </w:r>
      <w:r>
        <w:rPr>
          <w:rFonts w:ascii="Calibri" w:hAnsi="Calibri"/>
          <w:sz w:val="24"/>
          <w:szCs w:val="24"/>
        </w:rPr>
        <w:t>distribuição</w:t>
      </w:r>
      <w:r>
        <w:rPr>
          <w:rFonts w:ascii="Calibri" w:hAnsi="Calibri"/>
          <w:sz w:val="24"/>
          <w:szCs w:val="24"/>
        </w:rPr>
        <w:t xml:space="preserve"> entre as entidades na forma de custeio.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>A título de in</w:t>
      </w:r>
      <w:r>
        <w:rPr>
          <w:rFonts w:eastAsia="Arial" w:cs="Arial" w:ascii="Calibri" w:hAnsi="Calibri"/>
          <w:sz w:val="24"/>
          <w:szCs w:val="24"/>
          <w:shd w:fill="FFFFFF" w:val="clear"/>
        </w:rPr>
        <w:t>strução processual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, solicitamos informação junto </w:t>
      </w:r>
      <w:r>
        <w:rPr>
          <w:rFonts w:eastAsia="Arial" w:cs="Arial" w:ascii="Calibri" w:hAnsi="Calibri"/>
          <w:sz w:val="24"/>
          <w:szCs w:val="24"/>
          <w:shd w:fill="FFFFFF" w:val="clear"/>
        </w:rPr>
        <w:t>à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Casa de Conselhos d</w:t>
      </w:r>
      <w:r>
        <w:rPr>
          <w:rFonts w:eastAsia="Arial" w:cs="Arial" w:ascii="Calibri" w:hAnsi="Calibri"/>
          <w:sz w:val="24"/>
          <w:szCs w:val="24"/>
          <w:shd w:fill="FFFFFF" w:val="clear"/>
        </w:rPr>
        <w:t>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sz w:val="24"/>
          <w:szCs w:val="24"/>
          <w:shd w:fill="FFFFFF" w:val="clear"/>
        </w:rPr>
        <w:t>município,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sobre os valores e percentuais de </w:t>
      </w:r>
      <w:r>
        <w:rPr>
          <w:rFonts w:eastAsia="Arial" w:cs="Arial" w:ascii="Calibri" w:hAnsi="Calibri"/>
          <w:sz w:val="24"/>
          <w:szCs w:val="24"/>
          <w:shd w:fill="FFFFFF" w:val="clear"/>
        </w:rPr>
        <w:t>recursos financeiros arrecadados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sz w:val="24"/>
          <w:szCs w:val="24"/>
          <w:shd w:fill="FFFFFF" w:val="clear"/>
        </w:rPr>
        <w:t>pelo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fundo, nas modalidades de “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Recurso Captado pelo OSC”, “Doação Direta ao FMDPI” e “Doação de IR”,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que totalizaram no exercício passado (2021) a expressiva quantia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R$ 2.092.252,58.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A planilha de recursos captados,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assim como os planos de trabalho aprovado, </w:t>
      </w:r>
      <w:r>
        <w:rPr>
          <w:rFonts w:eastAsia="Arial" w:cs="Arial" w:ascii="Calibri" w:hAnsi="Calibri"/>
          <w:sz w:val="24"/>
          <w:szCs w:val="24"/>
          <w:shd w:fill="FFFFFF" w:val="clear"/>
        </w:rPr>
        <w:t>se encontra</w:t>
      </w:r>
      <w:r>
        <w:rPr>
          <w:rFonts w:eastAsia="Arial" w:cs="Arial" w:ascii="Calibri" w:hAnsi="Calibri"/>
          <w:sz w:val="24"/>
          <w:szCs w:val="24"/>
          <w:shd w:fill="FFFFFF" w:val="clear"/>
        </w:rPr>
        <w:t>m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anexo</w:t>
      </w:r>
      <w:r>
        <w:rPr>
          <w:rFonts w:eastAsia="Arial" w:cs="Arial" w:ascii="Calibri" w:hAnsi="Calibri"/>
          <w:sz w:val="24"/>
          <w:szCs w:val="24"/>
          <w:shd w:fill="FFFFFF" w:val="clear"/>
        </w:rPr>
        <w:t>s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a este relatório, ficando </w:t>
      </w:r>
      <w:r>
        <w:rPr>
          <w:rFonts w:eastAsia="Arial" w:cs="Arial" w:ascii="Calibri" w:hAnsi="Calibri"/>
          <w:sz w:val="24"/>
          <w:szCs w:val="24"/>
          <w:shd w:fill="FFFFFF" w:val="clear"/>
        </w:rPr>
        <w:t>à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disposição dos nobres pares.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Deste modo, considerando a importância social que se reveste a matéria, tendo em vista que não observamos irregularidades na propositura ora analisada, não se verifica óbices para continuidade da proposta apresentada pelo Executivo Municipal.</w:t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b/>
          <w:b/>
          <w:sz w:val="24"/>
          <w:szCs w:val="24"/>
        </w:rPr>
      </w:pPr>
      <w:r>
        <w:rPr>
          <w:rFonts w:eastAsia="Arial" w:cs="Arial" w:ascii="Calibri" w:hAnsi="Calibri"/>
          <w:b/>
          <w:sz w:val="24"/>
          <w:szCs w:val="24"/>
        </w:rPr>
        <w:t>III. Substitutivos, Emendas ou subemendas ao Projeto</w:t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 xml:space="preserve"> </w:t>
      </w:r>
      <w:r>
        <w:rPr>
          <w:rFonts w:eastAsia="Arial" w:cs="Arial" w:ascii="Calibri" w:hAnsi="Calibri"/>
          <w:sz w:val="24"/>
          <w:szCs w:val="24"/>
        </w:rPr>
        <w:tab/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ab/>
        <w:t>A Relatoria não propõe qualquer alteração ao Projeto de Lei sob análise.</w:t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b/>
          <w:b/>
          <w:sz w:val="24"/>
          <w:szCs w:val="24"/>
        </w:rPr>
      </w:pPr>
      <w:r>
        <w:rPr>
          <w:rFonts w:eastAsia="Arial" w:cs="Arial" w:ascii="Calibri" w:hAnsi="Calibri"/>
          <w:b/>
          <w:sz w:val="24"/>
          <w:szCs w:val="24"/>
        </w:rPr>
        <w:t>IV. Decisão da Relatora.</w:t>
      </w:r>
    </w:p>
    <w:p>
      <w:pPr>
        <w:pStyle w:val="Normal"/>
        <w:spacing w:lineRule="auto" w:line="240"/>
        <w:jc w:val="both"/>
        <w:rPr>
          <w:rFonts w:ascii="Calibri" w:hAnsi="Calibri" w:eastAsia="Arial" w:cs="Arial"/>
          <w:b/>
          <w:b/>
          <w:sz w:val="24"/>
          <w:szCs w:val="24"/>
        </w:rPr>
      </w:pPr>
      <w:r>
        <w:rPr>
          <w:rFonts w:eastAsia="Arial" w:cs="Arial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720"/>
        <w:jc w:val="both"/>
        <w:rPr/>
      </w:pPr>
      <w:r>
        <w:rPr>
          <w:rFonts w:eastAsia="Arial" w:cs="Arial" w:ascii="Calibri" w:hAnsi="Calibri"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>
        <w:rPr>
          <w:rFonts w:eastAsia="Arial" w:cs="Arial" w:ascii="Calibri" w:hAnsi="Calibri"/>
          <w:b/>
          <w:sz w:val="24"/>
          <w:szCs w:val="24"/>
        </w:rPr>
        <w:t>FAVORÁVEL.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Relatora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PARECER CONJUNTO N.º  3</w:t>
      </w:r>
      <w:r>
        <w:rPr>
          <w:rFonts w:eastAsia="Calibri" w:cs="Calibri" w:ascii="Calibri" w:hAnsi="Calibri"/>
          <w:b/>
          <w:sz w:val="24"/>
          <w:szCs w:val="24"/>
        </w:rPr>
        <w:t>3</w:t>
      </w:r>
      <w:r>
        <w:rPr>
          <w:rFonts w:eastAsia="Calibri" w:cs="Calibri" w:ascii="Calibri" w:hAnsi="Calibri"/>
          <w:b/>
          <w:sz w:val="24"/>
          <w:szCs w:val="24"/>
        </w:rPr>
        <w:t xml:space="preserve">/2022 DA COMISSÃO DE JUSTIÇA E REDAÇÃO; DE EDUCAÇÃO, SAÚDE, CULTURA, ESPORTE E ASSISTÊNCIA SOCIAL E DE FINANÇAS </w:t>
      </w:r>
      <w:r>
        <w:rPr>
          <w:rFonts w:eastAsia="Calibri" w:cs="Calibri" w:ascii="Calibri" w:hAnsi="Calibri"/>
          <w:b/>
          <w:sz w:val="24"/>
          <w:szCs w:val="24"/>
        </w:rPr>
        <w:t xml:space="preserve">E </w:t>
      </w:r>
      <w:r>
        <w:rPr>
          <w:rFonts w:eastAsia="Calibri" w:cs="Calibri" w:ascii="Calibri" w:hAnsi="Calibri"/>
          <w:b/>
          <w:sz w:val="24"/>
          <w:szCs w:val="24"/>
        </w:rPr>
        <w:t>ORÇAMENTO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2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ind w:left="0" w:right="0" w:firstLine="720"/>
        <w:contextualSpacing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Seguindo o Voto exarado pela Relatora e conforme determinam os artigos 35, 37 e 39, combinados com artigo 45 da Resolução n°  276 de 09 de novembro de 2010 a Comissão de Justiça e Redação conjuntamente com as Comissões Permanentes de Educação, Saúde, Cultura, Esportes e Assistência Social, e de Finanças e Orçamento, formalizam o presente </w:t>
      </w:r>
      <w:r>
        <w:rPr>
          <w:rFonts w:eastAsia="Calibri" w:cs="Calibri" w:ascii="Calibri" w:hAnsi="Calibri"/>
          <w:b/>
          <w:sz w:val="24"/>
          <w:szCs w:val="24"/>
        </w:rPr>
        <w:t>PARECER FAVORÁVEL</w:t>
      </w:r>
      <w:r>
        <w:rPr>
          <w:rFonts w:eastAsia="Calibri"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Arial" w:cs="Arial" w:ascii="Calibri" w:hAnsi="Calibri"/>
          <w:color w:val="000000"/>
          <w:sz w:val="24"/>
          <w:szCs w:val="24"/>
          <w:shd w:fill="FFFFFF" w:val="clear"/>
        </w:rPr>
        <w:t xml:space="preserve">Sala das Comissões, em </w:t>
      </w:r>
      <w:r>
        <w:rPr>
          <w:rFonts w:eastAsia="Arial" w:cs="Arial" w:ascii="Calibri" w:hAnsi="Calibri"/>
          <w:color w:val="000000"/>
          <w:sz w:val="24"/>
          <w:szCs w:val="24"/>
          <w:shd w:fill="FFFFFF" w:val="clear"/>
        </w:rPr>
        <w:t>25</w:t>
      </w:r>
      <w:r>
        <w:rPr>
          <w:rFonts w:eastAsia="Arial" w:cs="Arial" w:ascii="Calibri" w:hAnsi="Calibri"/>
          <w:color w:val="000000"/>
          <w:sz w:val="24"/>
          <w:szCs w:val="24"/>
          <w:shd w:fill="FFFFFF" w:val="clear"/>
        </w:rPr>
        <w:t xml:space="preserve"> de agosto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color w:val="000000"/>
          <w:sz w:val="24"/>
          <w:szCs w:val="24"/>
          <w:shd w:fill="FFFFFF" w:val="clear"/>
        </w:rPr>
        <w:t>de 2022</w:t>
      </w:r>
      <w:r>
        <w:rPr>
          <w:rFonts w:eastAsia="Arial" w:cs="Arial" w:ascii="Calibri" w:hAnsi="Calibri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br/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 JOÃO VICTOR GASPARINI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sz w:val="24"/>
          <w:szCs w:val="24"/>
          <w:shd w:fill="FFFFFF" w:val="clear"/>
        </w:rPr>
        <w:t xml:space="preserve">Presidente 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VEREADORA MARA CRISTINA CHOQUETTA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sz w:val="24"/>
          <w:szCs w:val="24"/>
          <w:shd w:fill="FFFFFF" w:val="clear"/>
        </w:rPr>
        <w:t>Vice-presidente / Relatora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br/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sz w:val="24"/>
          <w:szCs w:val="24"/>
          <w:shd w:fill="FFFFFF" w:val="clear"/>
        </w:rPr>
        <w:t>Membro 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  <w:t xml:space="preserve">COMISSÃO 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>DE EDUCAÇÃO, SAÚDE, CULTURA, ESPORTES E ASSISTÊNCIA SOCIAL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VEREADORA JOELMA FRANCO DA CUNHA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Presidente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Vice-presidente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 MÁRCIO EVANDRO RIBEIRO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Membro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bCs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 xml:space="preserve"> </w:t>
      </w: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 xml:space="preserve">COMISSÃO DE FINANÇAS E ORÇAMENTO </w:t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VEREADOR MARCOS PAULO CEGATTI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Presidente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VEREADOR ALEXANDRE CINTRA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Vice-presidente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VEREADORA MARA CRISTINA CHOQUETTA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Membro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7" w:gutter="0" w:header="720" w:top="2268" w:footer="720" w:bottom="13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color w:val="000000"/>
        <w:sz w:val="18"/>
        <w:szCs w:val="18"/>
      </w:rPr>
      <w:t xml:space="preserve">Rua Dr. José Alves, 129 - Centro - Fone : (019) 3814.1200  - Mogi Mirim – SP          </w:t>
    </w:r>
    <w:r>
      <w:rPr>
        <w:color w:val="000000"/>
        <w:sz w:val="18"/>
        <w:szCs w:val="18"/>
      </w:rPr>
      <w:fldChar w:fldCharType="begin"/>
    </w:r>
    <w:r>
      <w:rPr>
        <w:sz w:val="18"/>
        <w:szCs w:val="18"/>
        <w:color w:val="000000"/>
      </w:rPr>
      <w:instrText xml:space="preserve"> PAGE </w:instrText>
    </w:r>
    <w:r>
      <w:rPr>
        <w:sz w:val="18"/>
        <w:szCs w:val="18"/>
        <w:color w:val="000000"/>
      </w:rPr>
      <w:fldChar w:fldCharType="separate"/>
    </w:r>
    <w:r>
      <w:rPr>
        <w:sz w:val="18"/>
        <w:szCs w:val="18"/>
        <w:color w:val="000000"/>
      </w:rPr>
      <w:t>5</w:t>
    </w:r>
    <w:r>
      <w:rPr>
        <w:sz w:val="18"/>
        <w:szCs w:val="18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0" w:right="360" w:hanging="0"/>
      <w:rPr/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4"/>
        <w:szCs w:val="24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color w:val="000000"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Application>LibreOffice/7.3.1.3$Windows_X86_64 LibreOffice_project/a69ca51ded25f3eefd52d7bf9a5fad8c90b87951</Application>
  <AppVersion>15.0000</AppVersion>
  <Pages>5</Pages>
  <Words>910</Words>
  <Characters>5079</Characters>
  <CharactersWithSpaces>5973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2022-06-29T16:35:00Z</dcterms:created>
  <dc:creator/>
  <dc:description/>
  <dc:language>pt-BR</dc:language>
  <cp:lastModifiedBy/>
  <cp:lastPrinted>2022-08-25T10:47:07Z</cp:lastPrinted>
  <dcterms:modified xsi:type="dcterms:W3CDTF">2022-08-26T15:32:41Z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